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86" w:rsidRDefault="00851986" w:rsidP="00851986">
      <w:pPr>
        <w:jc w:val="right"/>
        <w:rPr>
          <w:sz w:val="26"/>
          <w:szCs w:val="26"/>
        </w:rPr>
      </w:pPr>
      <w:r>
        <w:rPr>
          <w:sz w:val="26"/>
          <w:szCs w:val="26"/>
        </w:rPr>
        <w:t>2.pielikums apstiprināts ar Jūrmalas pilsētas domes</w:t>
      </w:r>
    </w:p>
    <w:p w:rsidR="00851986" w:rsidRDefault="00851986" w:rsidP="00851986">
      <w:pPr>
        <w:jc w:val="right"/>
        <w:rPr>
          <w:sz w:val="26"/>
          <w:szCs w:val="26"/>
        </w:rPr>
      </w:pPr>
      <w:r>
        <w:rPr>
          <w:sz w:val="26"/>
          <w:szCs w:val="26"/>
        </w:rPr>
        <w:t>2014.gada 16.janvāra lēmumu Nr.17</w:t>
      </w:r>
    </w:p>
    <w:p w:rsidR="00851986" w:rsidRDefault="00851986" w:rsidP="00851986">
      <w:pPr>
        <w:jc w:val="right"/>
        <w:rPr>
          <w:sz w:val="26"/>
          <w:szCs w:val="26"/>
        </w:rPr>
      </w:pPr>
      <w:r>
        <w:rPr>
          <w:sz w:val="26"/>
          <w:szCs w:val="26"/>
        </w:rPr>
        <w:t>(protokols Nr.1, 21.punkts)</w:t>
      </w:r>
    </w:p>
    <w:p w:rsidR="00851986" w:rsidRPr="00931BD2" w:rsidRDefault="00851986" w:rsidP="00851986">
      <w:pPr>
        <w:pStyle w:val="Title"/>
        <w:rPr>
          <w:rFonts w:ascii="Times New Roman" w:hAnsi="Times New Roman"/>
          <w:i w:val="0"/>
          <w:sz w:val="24"/>
          <w:lang w:val="lv-LV"/>
        </w:rPr>
      </w:pPr>
      <w:r w:rsidRPr="00931BD2">
        <w:rPr>
          <w:rFonts w:ascii="Times New Roman" w:hAnsi="Times New Roman"/>
          <w:i w:val="0"/>
          <w:sz w:val="24"/>
          <w:lang w:val="lv-LV"/>
        </w:rPr>
        <w:t>Pilnvarojuma līgums Nr._____________</w:t>
      </w:r>
    </w:p>
    <w:p w:rsidR="00851986" w:rsidRPr="00931BD2" w:rsidRDefault="00851986" w:rsidP="00851986">
      <w:pPr>
        <w:pStyle w:val="Title"/>
        <w:rPr>
          <w:rFonts w:ascii="Times New Roman" w:hAnsi="Times New Roman"/>
          <w:i w:val="0"/>
          <w:sz w:val="24"/>
          <w:lang w:val="lv-LV"/>
        </w:rPr>
      </w:pPr>
      <w:r w:rsidRPr="00931BD2">
        <w:rPr>
          <w:rFonts w:ascii="Times New Roman" w:hAnsi="Times New Roman"/>
          <w:i w:val="0"/>
          <w:sz w:val="24"/>
          <w:lang w:val="lv-LV"/>
        </w:rPr>
        <w:t>par Jūrmalas pilsētas pašvaldības īpašumā esošo dzīvojamo māju pārvaldīšanu</w:t>
      </w:r>
    </w:p>
    <w:p w:rsidR="00851986" w:rsidRPr="00931BD2" w:rsidRDefault="00851986" w:rsidP="00851986">
      <w:pPr>
        <w:pStyle w:val="Style9"/>
        <w:widowControl/>
        <w:spacing w:before="120" w:after="120"/>
        <w:ind w:right="-8777"/>
        <w:rPr>
          <w:rStyle w:val="FontStyle15"/>
          <w:szCs w:val="24"/>
          <w:lang w:val="lv-LV"/>
        </w:rPr>
      </w:pPr>
    </w:p>
    <w:p w:rsidR="00851986" w:rsidRPr="00931BD2" w:rsidRDefault="00851986" w:rsidP="00851986">
      <w:pPr>
        <w:pStyle w:val="Style9"/>
        <w:widowControl/>
        <w:spacing w:before="120" w:after="120"/>
        <w:ind w:right="-8777"/>
        <w:rPr>
          <w:rStyle w:val="FontStyle15"/>
          <w:szCs w:val="24"/>
          <w:lang w:val="lv-LV"/>
        </w:rPr>
      </w:pPr>
      <w:r w:rsidRPr="00931BD2">
        <w:rPr>
          <w:rStyle w:val="FontStyle15"/>
          <w:szCs w:val="24"/>
          <w:lang w:val="lv-LV"/>
        </w:rPr>
        <w:t>Jūrmalā</w:t>
      </w:r>
      <w:r w:rsidRPr="00931BD2">
        <w:rPr>
          <w:rStyle w:val="FontStyle15"/>
          <w:szCs w:val="24"/>
          <w:lang w:val="lv-LV"/>
        </w:rPr>
        <w:tab/>
      </w:r>
      <w:r w:rsidRPr="00931BD2">
        <w:rPr>
          <w:rStyle w:val="FontStyle15"/>
          <w:szCs w:val="24"/>
          <w:lang w:val="lv-LV"/>
        </w:rPr>
        <w:tab/>
      </w:r>
      <w:r w:rsidRPr="00931BD2">
        <w:rPr>
          <w:rStyle w:val="FontStyle15"/>
          <w:szCs w:val="24"/>
          <w:lang w:val="lv-LV"/>
        </w:rPr>
        <w:tab/>
      </w:r>
      <w:r w:rsidRPr="00931BD2">
        <w:rPr>
          <w:rStyle w:val="FontStyle15"/>
          <w:szCs w:val="24"/>
          <w:lang w:val="lv-LV"/>
        </w:rPr>
        <w:tab/>
      </w:r>
      <w:r w:rsidRPr="00931BD2">
        <w:rPr>
          <w:rStyle w:val="FontStyle15"/>
          <w:szCs w:val="24"/>
          <w:lang w:val="lv-LV"/>
        </w:rPr>
        <w:tab/>
      </w:r>
      <w:r w:rsidRPr="00931BD2">
        <w:rPr>
          <w:rStyle w:val="FontStyle15"/>
          <w:szCs w:val="24"/>
          <w:lang w:val="lv-LV"/>
        </w:rPr>
        <w:tab/>
      </w:r>
      <w:r w:rsidRPr="00931BD2">
        <w:rPr>
          <w:rStyle w:val="FontStyle15"/>
          <w:szCs w:val="24"/>
          <w:lang w:val="lv-LV"/>
        </w:rPr>
        <w:tab/>
      </w:r>
      <w:r w:rsidRPr="00931BD2">
        <w:rPr>
          <w:rStyle w:val="FontStyle15"/>
          <w:szCs w:val="24"/>
          <w:lang w:val="lv-LV"/>
        </w:rPr>
        <w:tab/>
        <w:t>201</w:t>
      </w:r>
      <w:r>
        <w:rPr>
          <w:rStyle w:val="FontStyle15"/>
          <w:szCs w:val="24"/>
          <w:lang w:val="lv-LV"/>
        </w:rPr>
        <w:t>4</w:t>
      </w:r>
      <w:r w:rsidRPr="00931BD2">
        <w:rPr>
          <w:rStyle w:val="FontStyle15"/>
          <w:szCs w:val="24"/>
          <w:lang w:val="lv-LV"/>
        </w:rPr>
        <w:t>.gada ____.________</w:t>
      </w:r>
    </w:p>
    <w:p w:rsidR="00851986" w:rsidRPr="000E2102" w:rsidRDefault="00851986" w:rsidP="00851986">
      <w:pPr>
        <w:pStyle w:val="Style5"/>
        <w:widowControl/>
        <w:spacing w:line="240" w:lineRule="auto"/>
        <w:rPr>
          <w:szCs w:val="24"/>
          <w:lang w:val="lv-LV"/>
        </w:rPr>
      </w:pPr>
      <w:r w:rsidRPr="000E2102">
        <w:rPr>
          <w:szCs w:val="24"/>
          <w:lang w:val="lv-LV"/>
        </w:rPr>
        <w:t xml:space="preserve">Jūrmalas pilsētas dome, priekšsēdētāja Gata Trukšņa personā (turpmāk - ĪPAŠNIEKS), kurš rīkojas saskaņā ar Jūrmalas pilsētas domes 2010.gada 4.februāra saistošajiem noteikumiem Nr.6 </w:t>
      </w:r>
      <w:r w:rsidRPr="000E2102">
        <w:rPr>
          <w:szCs w:val="24"/>
          <w:lang w:val="lv-LV" w:eastAsia="en-US"/>
        </w:rPr>
        <w:t xml:space="preserve">„Jūrmalas pilsētas pašvaldības nolikums” </w:t>
      </w:r>
      <w:r w:rsidRPr="000E2102">
        <w:rPr>
          <w:szCs w:val="24"/>
          <w:lang w:val="lv-LV"/>
        </w:rPr>
        <w:t>un likumu “Par pašvaldībām”, no vienas puses,</w:t>
      </w:r>
      <w:r w:rsidRPr="000E2102">
        <w:rPr>
          <w:noProof/>
          <w:szCs w:val="24"/>
          <w:lang w:val="lv-LV"/>
        </w:rPr>
        <w:t xml:space="preserve"> un privatizējamā sabiedrība ar ierobežotu atbildību “Jūrmalas namsaimnieks” (turpmāk – PĀRVALDNIEKS), valdes priekšsēdētāja Jāņa Daugavvanaga un valdes locekļa Jāņa Skuteļa personā, no otras puses</w:t>
      </w:r>
      <w:r w:rsidRPr="000E2102">
        <w:rPr>
          <w:szCs w:val="24"/>
          <w:lang w:val="lv-LV"/>
        </w:rPr>
        <w:t>, kopā saukti – PUSES, noslēdz šādu līgumu (turpmāk tekstā – LĪGUMS):</w:t>
      </w:r>
    </w:p>
    <w:p w:rsidR="00851986" w:rsidRPr="000E2102" w:rsidRDefault="00851986" w:rsidP="00851986">
      <w:pPr>
        <w:pStyle w:val="Style8"/>
        <w:widowControl/>
        <w:numPr>
          <w:ilvl w:val="0"/>
          <w:numId w:val="2"/>
        </w:numPr>
        <w:rPr>
          <w:rStyle w:val="FontStyle15"/>
          <w:szCs w:val="24"/>
          <w:lang w:val="lv-LV"/>
        </w:rPr>
      </w:pPr>
      <w:r w:rsidRPr="000E2102">
        <w:rPr>
          <w:rStyle w:val="FontStyle15"/>
          <w:szCs w:val="24"/>
          <w:lang w:val="lv-LV"/>
        </w:rPr>
        <w:t>Vispārīgie noteikumi</w:t>
      </w:r>
    </w:p>
    <w:p w:rsidR="00851986" w:rsidRDefault="00851986" w:rsidP="00851986">
      <w:pPr>
        <w:pStyle w:val="Style5"/>
        <w:widowControl/>
        <w:spacing w:line="240" w:lineRule="auto"/>
        <w:rPr>
          <w:szCs w:val="24"/>
          <w:lang w:val="lv-LV"/>
        </w:rPr>
      </w:pPr>
      <w:r w:rsidRPr="000E2102">
        <w:rPr>
          <w:szCs w:val="24"/>
          <w:lang w:val="lv-LV"/>
        </w:rPr>
        <w:t>Līgums tiek noslēgts, pamatojoties uz Dzīvokļa īpašuma likumu, Dzīvojamo māju pārvaldīšanas likumu, likumu „Par dzīvojamo telpu īri”, kā arī uz minēto likumu pamata izdotajiem Ministru kabineta noteikumiem un Jūrmalas pilsētas domes 201__ _____ lēmumu Nr.____ „Par _________________”.</w:t>
      </w:r>
    </w:p>
    <w:p w:rsidR="00851986" w:rsidRPr="000E2102" w:rsidRDefault="00851986" w:rsidP="00851986">
      <w:pPr>
        <w:pStyle w:val="Style5"/>
        <w:widowControl/>
        <w:spacing w:line="240" w:lineRule="auto"/>
        <w:rPr>
          <w:szCs w:val="24"/>
          <w:lang w:val="lv-LV"/>
        </w:rPr>
      </w:pPr>
    </w:p>
    <w:p w:rsidR="00851986" w:rsidRPr="000E2102" w:rsidRDefault="00851986" w:rsidP="00851986">
      <w:pPr>
        <w:pStyle w:val="Style8"/>
        <w:widowControl/>
        <w:numPr>
          <w:ilvl w:val="0"/>
          <w:numId w:val="1"/>
        </w:numPr>
        <w:rPr>
          <w:rStyle w:val="FontStyle15"/>
          <w:szCs w:val="24"/>
          <w:lang w:val="lv-LV"/>
        </w:rPr>
      </w:pPr>
      <w:r w:rsidRPr="000E2102">
        <w:rPr>
          <w:rStyle w:val="FontStyle15"/>
          <w:szCs w:val="24"/>
          <w:lang w:val="lv-LV"/>
        </w:rPr>
        <w:t>Līguma priekšmets</w:t>
      </w:r>
    </w:p>
    <w:p w:rsidR="00851986" w:rsidRDefault="00851986" w:rsidP="00851986">
      <w:pPr>
        <w:pStyle w:val="Style5"/>
        <w:widowControl/>
        <w:spacing w:line="240" w:lineRule="auto"/>
        <w:ind w:firstLine="0"/>
        <w:rPr>
          <w:rStyle w:val="FontStyle15"/>
          <w:szCs w:val="24"/>
          <w:lang w:val="lv-LV"/>
        </w:rPr>
      </w:pPr>
      <w:r>
        <w:rPr>
          <w:rStyle w:val="FontStyle15"/>
          <w:szCs w:val="24"/>
          <w:lang w:val="lv-LV"/>
        </w:rPr>
        <w:tab/>
      </w:r>
      <w:r w:rsidRPr="000E2102">
        <w:rPr>
          <w:rStyle w:val="FontStyle15"/>
          <w:szCs w:val="24"/>
          <w:lang w:val="lv-LV"/>
        </w:rPr>
        <w:t>ĪPAŠNIEKS uzdod PĀRVALDNIEKAM un PĀRVALDNIEKS apņemas kā rūpīgs un gādīgs saimnieks veikt Dzīvojamo māju pārvaldīšanas likumā minētās obligāti veicamās pārvaldīšanas darbības, Jūrmalas pilsētas domes normatīvajos aktos paredzētās pārvaldīšanas darbības LĪGUMA 1.pielikumā minētajās ĪPAŠNIEKA īpašumā esošajās dzīvojamās mājās, tām funkcionāli piederīgajās palīgēkās, būvēs un funkcionāli piesaistītajos zemes gabalos (turpmāk kopā saukti – NEKUSTAMAIS ĪPAŠUMS), ievērojot ĪPAŠNIEKA norādījumus.</w:t>
      </w:r>
    </w:p>
    <w:p w:rsidR="00851986" w:rsidRPr="000E2102" w:rsidRDefault="00851986" w:rsidP="00851986">
      <w:pPr>
        <w:pStyle w:val="Style5"/>
        <w:widowControl/>
        <w:spacing w:line="240" w:lineRule="auto"/>
        <w:ind w:firstLine="0"/>
        <w:rPr>
          <w:rStyle w:val="FontStyle15"/>
          <w:szCs w:val="24"/>
          <w:lang w:val="lv-LV"/>
        </w:rPr>
      </w:pPr>
    </w:p>
    <w:p w:rsidR="00851986" w:rsidRPr="000E2102" w:rsidRDefault="00851986" w:rsidP="00851986">
      <w:pPr>
        <w:pStyle w:val="Style9"/>
        <w:widowControl/>
        <w:numPr>
          <w:ilvl w:val="0"/>
          <w:numId w:val="1"/>
        </w:numPr>
        <w:jc w:val="center"/>
        <w:rPr>
          <w:rStyle w:val="FontStyle15"/>
          <w:szCs w:val="24"/>
          <w:lang w:val="lv-LV"/>
        </w:rPr>
      </w:pPr>
      <w:r w:rsidRPr="000E2102">
        <w:rPr>
          <w:rStyle w:val="FontStyle15"/>
          <w:szCs w:val="24"/>
          <w:lang w:val="lv-LV"/>
        </w:rPr>
        <w:t>Līguma termiņš</w:t>
      </w:r>
    </w:p>
    <w:p w:rsidR="00851986" w:rsidRDefault="00851986" w:rsidP="00851986">
      <w:pPr>
        <w:pStyle w:val="Title"/>
        <w:ind w:firstLine="720"/>
        <w:jc w:val="both"/>
        <w:rPr>
          <w:rStyle w:val="FontStyle15"/>
          <w:b w:val="0"/>
          <w:sz w:val="24"/>
          <w:lang w:val="lv-LV"/>
        </w:rPr>
      </w:pPr>
      <w:r w:rsidRPr="000E2102">
        <w:rPr>
          <w:rStyle w:val="FontStyle15"/>
          <w:b w:val="0"/>
          <w:sz w:val="24"/>
          <w:lang w:val="lv-LV"/>
        </w:rPr>
        <w:t xml:space="preserve">LĪGUMS stājas spēkā pēc tā abpusējas parakstīšanas un noslēgts uz 3 (trīs) gadiem, bet ne ilgāk kā līdz privatizējamās sabiedrības ar ierobežotu atbildību „Jūrmalas namsaimnieks” privatizācijas pabeigšanai un jauna  līguma par </w:t>
      </w:r>
      <w:r>
        <w:rPr>
          <w:rStyle w:val="FontStyle15"/>
          <w:b w:val="0"/>
          <w:sz w:val="24"/>
          <w:lang w:val="lv-LV"/>
        </w:rPr>
        <w:t xml:space="preserve">NEKUSTAMĀ </w:t>
      </w:r>
      <w:r w:rsidRPr="000E2102">
        <w:rPr>
          <w:rStyle w:val="FontStyle15"/>
          <w:b w:val="0"/>
          <w:sz w:val="24"/>
          <w:lang w:val="lv-LV"/>
        </w:rPr>
        <w:t>ĪPAŠUMA pārvaldīšanu noslēgšanai ar ĪPAŠNIEKA izvēlēto pārvaldnieku.</w:t>
      </w:r>
    </w:p>
    <w:p w:rsidR="00851986" w:rsidRPr="000E2102" w:rsidRDefault="00851986" w:rsidP="00851986">
      <w:pPr>
        <w:pStyle w:val="Title"/>
        <w:ind w:firstLine="720"/>
        <w:jc w:val="both"/>
        <w:rPr>
          <w:rStyle w:val="FontStyle15"/>
          <w:b w:val="0"/>
          <w:sz w:val="24"/>
          <w:lang w:val="lv-LV"/>
        </w:rPr>
      </w:pPr>
    </w:p>
    <w:p w:rsidR="00851986" w:rsidRPr="000E2102" w:rsidRDefault="00851986" w:rsidP="00851986">
      <w:pPr>
        <w:pStyle w:val="Style9"/>
        <w:widowControl/>
        <w:numPr>
          <w:ilvl w:val="0"/>
          <w:numId w:val="1"/>
        </w:numPr>
        <w:jc w:val="center"/>
        <w:rPr>
          <w:rStyle w:val="FontStyle15"/>
          <w:szCs w:val="24"/>
          <w:lang w:val="lv-LV"/>
        </w:rPr>
      </w:pPr>
      <w:r w:rsidRPr="000E2102">
        <w:rPr>
          <w:rStyle w:val="FontStyle15"/>
          <w:szCs w:val="24"/>
          <w:lang w:val="lv-LV"/>
        </w:rPr>
        <w:t>PĀRVALDNIEKA pienākumi un tiesības</w:t>
      </w:r>
    </w:p>
    <w:p w:rsidR="00851986" w:rsidRPr="000E2102" w:rsidRDefault="00851986" w:rsidP="00851986">
      <w:pPr>
        <w:pStyle w:val="Style11"/>
        <w:widowControl/>
        <w:numPr>
          <w:ilvl w:val="1"/>
          <w:numId w:val="3"/>
        </w:numPr>
        <w:spacing w:line="240" w:lineRule="auto"/>
        <w:ind w:left="426" w:hanging="426"/>
        <w:rPr>
          <w:rStyle w:val="FontStyle15"/>
          <w:color w:val="000000"/>
          <w:szCs w:val="24"/>
          <w:lang w:val="lv-LV"/>
        </w:rPr>
      </w:pPr>
      <w:r w:rsidRPr="000E2102">
        <w:rPr>
          <w:rStyle w:val="FontStyle15"/>
          <w:szCs w:val="24"/>
          <w:lang w:val="lv-LV"/>
        </w:rPr>
        <w:t xml:space="preserve">Pārvaldniekam ir pienākums </w:t>
      </w:r>
      <w:r w:rsidRPr="000E2102">
        <w:rPr>
          <w:rStyle w:val="FontStyle15"/>
          <w:color w:val="000000"/>
          <w:szCs w:val="24"/>
          <w:lang w:val="lv-LV"/>
        </w:rPr>
        <w:t>veikt Dzīvojamo māju pārvaldīšanas likumā paredzētās obligāti veicamās pārvaldīšanas darbības un citas pārvaldīšanas darbības, ievērojot spēkā esošos Latvijas būvnormatīvus un citus ar dzīvojamo māju pārvadīšanu saistītos tiesību aktus, tajā skaitā:</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Nodrošināt dzīvojamās mājas uzturēšanu (fizisku saglabāšanu) atbilstoši normatīvo aktu prasībām:</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a) dzīvojamās mājas sanitāro apkopi;</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b) apkures, aukstā ūdens un kanalizācijas nodrošināšanu, kā arī sadzīves atkritumu izvešanu;</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c) dzīvojamās mājās esošo iekārtu un komunikāciju vizuālo apsekošanu, tehnisko apkopi un kārtējo remontu;</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d) dzīvojamajai mājai kā vides objektam izvirzīto minimālo prasību izpildes nodrošināšanu;</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e) dzīvojamās mājas energoefektivitātes izvirzīto minimālo prastību izpildes nodrošināšanu.</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lastRenderedPageBreak/>
        <w:t>Veikt pārvaldīšanas darba plānošanu, organizēšanu un pārraudzību, tajā skaitā:</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a) pārvaldīšanas darba plāna, tajā skaitā uzturēšanai nepieciešamo pasākumu plāna sagatavošanu;</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b) nākamā gada izdevumu tāmes  projekta sagatavošanu;</w:t>
      </w:r>
    </w:p>
    <w:p w:rsidR="00851986" w:rsidRPr="000E2102" w:rsidRDefault="00851986" w:rsidP="00851986">
      <w:pPr>
        <w:pStyle w:val="Style11"/>
        <w:widowControl/>
        <w:spacing w:line="240" w:lineRule="auto"/>
        <w:ind w:left="993" w:firstLine="0"/>
        <w:rPr>
          <w:rStyle w:val="FontStyle15"/>
          <w:szCs w:val="24"/>
          <w:lang w:val="lv-LV"/>
        </w:rPr>
      </w:pPr>
      <w:r w:rsidRPr="000E2102">
        <w:rPr>
          <w:rStyle w:val="FontStyle15"/>
          <w:szCs w:val="24"/>
          <w:lang w:val="lv-LV"/>
        </w:rPr>
        <w:t>c) finanšu uzskaites organizēšanu.</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Veikt citas darbības</w:t>
      </w:r>
      <w:r w:rsidRPr="000E2102">
        <w:rPr>
          <w:rStyle w:val="FontStyle15"/>
          <w:b/>
          <w:szCs w:val="24"/>
          <w:lang w:val="lv-LV"/>
        </w:rPr>
        <w:t xml:space="preserve"> </w:t>
      </w:r>
      <w:r w:rsidRPr="000E2102">
        <w:rPr>
          <w:rStyle w:val="FontStyle15"/>
          <w:szCs w:val="24"/>
          <w:lang w:val="lv-LV"/>
        </w:rPr>
        <w:t xml:space="preserve">NEKUSTAMAJĀ ĪPAŠUMĀ esošajos pašvaldības dzīvokļos, ja tās rakstiski saskaņotas ar ĪPAŠNIEKU, to līdzekļu ietvaros, kas iegūti, pārvaldot un apsaimniekojot pašvaldības dzīvokļus, kā arī ĪPAŠNIEKA piešķirto līdzekļu ietvaros; </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trike/>
          <w:color w:val="000000"/>
          <w:szCs w:val="24"/>
          <w:lang w:val="lv-LV"/>
        </w:rPr>
      </w:pPr>
      <w:r w:rsidRPr="000E2102">
        <w:rPr>
          <w:rStyle w:val="FontStyle15"/>
          <w:color w:val="000000"/>
          <w:szCs w:val="24"/>
          <w:lang w:val="lv-LV"/>
        </w:rPr>
        <w:t>ĪPAŠNIEKA vārdā slēgt līgumus ar komunālo pakalpojumu sniedzējiem par apkuri, aukstā ūdens un sadzīves kanalizācijas nodrošināšanu, sadzīves atkritumu izvešanu, ar zemesgabala īpašnieku par piesaistītā zemesgabala lietošanu, liftu apkalpošanu, elektroapgādes sistēmas avārijas likvidēšanu, siltummezgla uzturēšanu un ekspluatāciju, deratizāciju un dezinfekciju NEKUSTAMAJĀ ĪPAŠUMĀ un nodrošināt šajos līgumos ietverto saistību izpildi, atbilstoši pašvaldības dzīvokļu īrnieku pārvaldīšanas un apsaimniekošanas maksas aprēķinam;</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 xml:space="preserve">Veicot NEKUSTAMĀ ĪPAŠUMA pārvaldīšanu, ievērot Publisko iepirkumu likuma nosacījumus; </w:t>
      </w:r>
    </w:p>
    <w:p w:rsidR="00851986" w:rsidRPr="000E2102" w:rsidRDefault="00851986" w:rsidP="00851986">
      <w:pPr>
        <w:pStyle w:val="Style11"/>
        <w:widowControl/>
        <w:numPr>
          <w:ilvl w:val="2"/>
          <w:numId w:val="3"/>
        </w:numPr>
        <w:spacing w:line="240" w:lineRule="auto"/>
        <w:ind w:left="1134" w:hanging="708"/>
        <w:rPr>
          <w:rStyle w:val="FontStyle15"/>
          <w:color w:val="000000"/>
          <w:szCs w:val="24"/>
          <w:lang w:val="lv-LV"/>
        </w:rPr>
      </w:pPr>
      <w:r w:rsidRPr="000E2102">
        <w:rPr>
          <w:rStyle w:val="FontStyle15"/>
          <w:color w:val="000000"/>
          <w:szCs w:val="24"/>
          <w:lang w:val="lv-LV"/>
        </w:rPr>
        <w:t>Saskaņā ar Līguma 2.pielikumu līdz kārtējā gada 1.oktobrim, iesniegt ĪPAŠNIEKAM apstiprināšanai:</w:t>
      </w:r>
    </w:p>
    <w:p w:rsidR="00851986" w:rsidRPr="000E2102" w:rsidRDefault="00851986" w:rsidP="00851986">
      <w:pPr>
        <w:pStyle w:val="Style11"/>
        <w:widowControl/>
        <w:numPr>
          <w:ilvl w:val="3"/>
          <w:numId w:val="3"/>
        </w:numPr>
        <w:spacing w:line="240" w:lineRule="auto"/>
        <w:ind w:left="1985" w:hanging="851"/>
        <w:rPr>
          <w:rStyle w:val="FontStyle15"/>
          <w:color w:val="000000"/>
          <w:szCs w:val="24"/>
          <w:lang w:val="lv-LV"/>
        </w:rPr>
      </w:pPr>
      <w:r w:rsidRPr="000E2102">
        <w:rPr>
          <w:rStyle w:val="FontStyle15"/>
          <w:color w:val="000000"/>
          <w:szCs w:val="24"/>
          <w:lang w:val="lv-LV"/>
        </w:rPr>
        <w:t>obligāti veicamo dzīvojamās mājas uzturēšanas un apsaimniekošanas darbu plānoto ieņēmumu un izdevumu tāmes kopsavilkumu nākamajam kalendārajam gadam;</w:t>
      </w:r>
    </w:p>
    <w:p w:rsidR="00851986" w:rsidRPr="000E2102" w:rsidRDefault="00851986" w:rsidP="00851986">
      <w:pPr>
        <w:pStyle w:val="Style11"/>
        <w:widowControl/>
        <w:numPr>
          <w:ilvl w:val="3"/>
          <w:numId w:val="3"/>
        </w:numPr>
        <w:spacing w:line="240" w:lineRule="auto"/>
        <w:ind w:left="1985" w:hanging="851"/>
        <w:rPr>
          <w:rStyle w:val="FontStyle15"/>
          <w:color w:val="000000"/>
          <w:szCs w:val="24"/>
          <w:lang w:val="lv-LV"/>
        </w:rPr>
      </w:pPr>
      <w:r w:rsidRPr="000E2102">
        <w:rPr>
          <w:rStyle w:val="FontStyle15"/>
          <w:color w:val="000000"/>
          <w:szCs w:val="24"/>
          <w:lang w:val="lv-LV"/>
        </w:rPr>
        <w:t>dzīvojamai mājai nepieciešamo (plānoto) remontdarbu apkopojumu nākamajam kalendārajam gadam;</w:t>
      </w:r>
    </w:p>
    <w:p w:rsidR="00851986" w:rsidRPr="000E2102" w:rsidRDefault="00851986" w:rsidP="00851986">
      <w:pPr>
        <w:pStyle w:val="Style11"/>
        <w:widowControl/>
        <w:numPr>
          <w:ilvl w:val="3"/>
          <w:numId w:val="3"/>
        </w:numPr>
        <w:spacing w:line="240" w:lineRule="auto"/>
        <w:ind w:left="1985" w:hanging="851"/>
        <w:rPr>
          <w:rStyle w:val="FontStyle15"/>
          <w:color w:val="000000"/>
          <w:szCs w:val="24"/>
          <w:lang w:val="lv-LV"/>
        </w:rPr>
      </w:pPr>
      <w:r w:rsidRPr="000E2102">
        <w:rPr>
          <w:rStyle w:val="FontStyle15"/>
          <w:color w:val="000000"/>
          <w:szCs w:val="24"/>
          <w:lang w:val="lv-LV"/>
        </w:rPr>
        <w:t>informāciju par pārskata gadā faktiski paveiktajiem remontdarbiem un līdz gada beigām plānotajiem remontdarbiem.</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 xml:space="preserve">Izrakstīt rēķinu un saņemt no NEKUSTAMAJĀ ĪPAŠUMĀ esošo pašvaldības dzīvokļu īrniekiem īres maksu, kas sastāv no ĪPAŠNIEKA īres līgumā noteiktās peļņas daļas un PĀRVALDNIEKA noteiktās pārvaldīšanas un apsaimniekošanas maksas, nekustamā īpašuma nodokļa maksājuma, zemes nomas līgumā noteikto zemes nomas maksu, ja dzīvojamā māja atrodas uz citam īpašniekam piederošas zemes, kā arī maksu par sniegtajiem komunālajiem pakalpojumiem, kas saistīti ar dzīvokļu īpašumu lietošanu. Rēķins tiek nosūtīts uz NEKUSTAMAJĀ ĪPAŠUMĀ esošo pasta kastīti ar atbilstošā dzīvokļa numuru un/vai elektroniski uz dzīvokļa īrnieka norādīto e-pasta adresi. </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Līdz katra mēneša 15.datumam pārskaitīt aprēķināto īres maksas peļņas daļu par iepriekšējo mēnesi ĪPAŠNIEKA norādītajā budžeta kontā, vienlaicīgi iesniedzot pārskatu, kurā uzrādīti īrnieki, īrnieku adrese, aprēķinātā peļņas daļa no saimnieciskā gada sākuma, pārskaitītā peļņas daļa no gada sākuma, šajā mēnesī pārskaitītā peļņas daļa.</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Regulāri – ikreiz, kad dzīvokļa īrnieks vairāk nekā trīs mēnešus nemaksā īres maksu, obligātos maksājumus un maksu par pamatpakalpojumiem vai īrnieka neizpildītās saistības pārsniedz 351,40 latus (500 euro), lai nepieļautu īres maksas un maksas par sniegtajiem pakalpojumiem, kas saistīti ar dzīvokļa lietošanu, kā arī citu ar dzīvojamo telpu saistīto obligāto maksājumu, parādu uzkrāšanos, veikt šādus pasākumus:</w:t>
      </w:r>
    </w:p>
    <w:p w:rsidR="00851986" w:rsidRPr="000E2102" w:rsidRDefault="00851986" w:rsidP="00851986">
      <w:pPr>
        <w:pStyle w:val="Style11"/>
        <w:widowControl/>
        <w:numPr>
          <w:ilvl w:val="3"/>
          <w:numId w:val="3"/>
        </w:numPr>
        <w:tabs>
          <w:tab w:val="left" w:pos="0"/>
        </w:tabs>
        <w:spacing w:line="240" w:lineRule="auto"/>
        <w:ind w:left="1985" w:hanging="851"/>
        <w:rPr>
          <w:rStyle w:val="FontStyle15"/>
          <w:szCs w:val="24"/>
          <w:lang w:val="lv-LV"/>
        </w:rPr>
      </w:pPr>
      <w:r w:rsidRPr="000E2102">
        <w:rPr>
          <w:rStyle w:val="FontStyle16"/>
          <w:color w:val="000000"/>
          <w:szCs w:val="24"/>
          <w:lang w:val="lv-LV"/>
        </w:rPr>
        <w:t>rakstiski līdz katra mēneša 15.datumam i</w:t>
      </w:r>
      <w:r w:rsidRPr="000E2102">
        <w:rPr>
          <w:rStyle w:val="FontStyle15"/>
          <w:szCs w:val="24"/>
          <w:lang w:val="lv-LV"/>
        </w:rPr>
        <w:t>nformēt ĪPAŠNIEKU par katru 4.1.9.punktā minēto gadījumu, kā arī sniegt viedokli par lietderību izbeigt dzīvojamās telpas īres līgumu likuma „Par dzīvojamo telpu īri” 28.</w:t>
      </w:r>
      <w:r w:rsidRPr="000E2102">
        <w:rPr>
          <w:rStyle w:val="FontStyle15"/>
          <w:szCs w:val="24"/>
          <w:vertAlign w:val="superscript"/>
          <w:lang w:val="lv-LV"/>
        </w:rPr>
        <w:t xml:space="preserve">2 </w:t>
      </w:r>
      <w:r w:rsidRPr="000E2102">
        <w:rPr>
          <w:rStyle w:val="FontStyle15"/>
          <w:szCs w:val="24"/>
          <w:lang w:val="lv-LV"/>
        </w:rPr>
        <w:t>pantā noteiktajā kārtībā;</w:t>
      </w:r>
    </w:p>
    <w:p w:rsidR="00851986" w:rsidRPr="000E2102" w:rsidRDefault="00851986" w:rsidP="00851986">
      <w:pPr>
        <w:pStyle w:val="Style11"/>
        <w:widowControl/>
        <w:numPr>
          <w:ilvl w:val="3"/>
          <w:numId w:val="3"/>
        </w:numPr>
        <w:tabs>
          <w:tab w:val="left" w:pos="0"/>
        </w:tabs>
        <w:spacing w:line="240" w:lineRule="auto"/>
        <w:ind w:left="1985" w:hanging="851"/>
        <w:rPr>
          <w:rStyle w:val="FontStyle15"/>
          <w:szCs w:val="24"/>
          <w:lang w:val="lv-LV"/>
        </w:rPr>
      </w:pPr>
      <w:r w:rsidRPr="000E2102">
        <w:rPr>
          <w:rStyle w:val="FontStyle15"/>
          <w:szCs w:val="24"/>
          <w:lang w:val="lv-LV"/>
        </w:rPr>
        <w:t>sagatavot un nosūtīt brīdinājuma vēstuli parādniekam;</w:t>
      </w:r>
    </w:p>
    <w:p w:rsidR="00851986" w:rsidRPr="000E2102" w:rsidRDefault="00851986" w:rsidP="00851986">
      <w:pPr>
        <w:pStyle w:val="Style11"/>
        <w:widowControl/>
        <w:numPr>
          <w:ilvl w:val="3"/>
          <w:numId w:val="3"/>
        </w:numPr>
        <w:tabs>
          <w:tab w:val="left" w:pos="0"/>
        </w:tabs>
        <w:spacing w:line="240" w:lineRule="auto"/>
        <w:ind w:left="1985" w:hanging="851"/>
        <w:rPr>
          <w:rStyle w:val="FontStyle15"/>
          <w:szCs w:val="24"/>
          <w:lang w:val="lv-LV"/>
        </w:rPr>
      </w:pPr>
      <w:r w:rsidRPr="000E2102">
        <w:rPr>
          <w:rStyle w:val="FontStyle15"/>
          <w:szCs w:val="24"/>
          <w:lang w:val="lv-LV"/>
        </w:rPr>
        <w:t>sagatavot  un nosūtīt vienošanos par parāda samaksu pēc noteikta grafika;</w:t>
      </w:r>
    </w:p>
    <w:p w:rsidR="00851986" w:rsidRPr="000E2102" w:rsidRDefault="00851986" w:rsidP="00851986">
      <w:pPr>
        <w:pStyle w:val="Style11"/>
        <w:widowControl/>
        <w:numPr>
          <w:ilvl w:val="3"/>
          <w:numId w:val="3"/>
        </w:numPr>
        <w:tabs>
          <w:tab w:val="left" w:pos="0"/>
        </w:tabs>
        <w:spacing w:line="240" w:lineRule="auto"/>
        <w:ind w:left="1985" w:hanging="851"/>
        <w:rPr>
          <w:rStyle w:val="FontStyle15"/>
          <w:szCs w:val="24"/>
          <w:lang w:val="lv-LV"/>
        </w:rPr>
      </w:pPr>
      <w:r w:rsidRPr="000E2102">
        <w:rPr>
          <w:rStyle w:val="FontStyle15"/>
          <w:szCs w:val="24"/>
          <w:lang w:val="lv-LV"/>
        </w:rPr>
        <w:lastRenderedPageBreak/>
        <w:t>ja mēneša laikā pēc brīdinājuma saņemšanas dzīvokļa īrnieks nav veicis parāda samaksu un/vai nav noslēdzis vienošanos</w:t>
      </w:r>
      <w:r>
        <w:rPr>
          <w:rStyle w:val="FontStyle15"/>
          <w:szCs w:val="24"/>
          <w:lang w:val="lv-LV"/>
        </w:rPr>
        <w:t xml:space="preserve"> par parāda samaksu pēc noteikta</w:t>
      </w:r>
      <w:r w:rsidRPr="000E2102">
        <w:rPr>
          <w:rStyle w:val="FontStyle15"/>
          <w:szCs w:val="24"/>
          <w:lang w:val="lv-LV"/>
        </w:rPr>
        <w:t xml:space="preserve"> grafika, PĀRVALDNIEKS nosūta parādniekam pirmstiesas brīdinājumu;</w:t>
      </w:r>
    </w:p>
    <w:p w:rsidR="00851986" w:rsidRPr="000E2102" w:rsidRDefault="00851986" w:rsidP="00851986">
      <w:pPr>
        <w:pStyle w:val="Style11"/>
        <w:widowControl/>
        <w:numPr>
          <w:ilvl w:val="3"/>
          <w:numId w:val="3"/>
        </w:numPr>
        <w:tabs>
          <w:tab w:val="left" w:pos="0"/>
        </w:tabs>
        <w:spacing w:line="240" w:lineRule="auto"/>
        <w:ind w:left="1985" w:hanging="851"/>
        <w:rPr>
          <w:rStyle w:val="FontStyle15"/>
          <w:szCs w:val="24"/>
          <w:lang w:val="lv-LV"/>
        </w:rPr>
      </w:pPr>
      <w:r w:rsidRPr="000E2102">
        <w:rPr>
          <w:rStyle w:val="FontStyle15"/>
          <w:szCs w:val="24"/>
          <w:lang w:val="lv-LV"/>
        </w:rPr>
        <w:t>ja mēneša laikā pēc pirmstiesas brīdinājuma saņemšanas īrnieks nav veicis parāda samaksu un/vai nav noslēdzis vienošanos</w:t>
      </w:r>
      <w:r>
        <w:rPr>
          <w:rStyle w:val="FontStyle15"/>
          <w:szCs w:val="24"/>
          <w:lang w:val="lv-LV"/>
        </w:rPr>
        <w:t xml:space="preserve"> par parāda samaksu pēc noteikta</w:t>
      </w:r>
      <w:r w:rsidRPr="000E2102">
        <w:rPr>
          <w:rStyle w:val="FontStyle15"/>
          <w:szCs w:val="24"/>
          <w:lang w:val="lv-LV"/>
        </w:rPr>
        <w:t xml:space="preserve"> grafika, PĀRVALDNIEKS viena mēneša laikā sagatavo un iesniedz prasības pieteikumu tiesā par parāda piedziņu un/vai dzīvojamās telpas īres līguma pārtraukšanu un izlikšanu no dzīvojamām telpām.</w:t>
      </w:r>
    </w:p>
    <w:p w:rsidR="00851986" w:rsidRPr="000E2102" w:rsidRDefault="00851986" w:rsidP="00851986">
      <w:pPr>
        <w:pStyle w:val="Style11"/>
        <w:widowControl/>
        <w:numPr>
          <w:ilvl w:val="2"/>
          <w:numId w:val="3"/>
        </w:numPr>
        <w:tabs>
          <w:tab w:val="left" w:pos="0"/>
        </w:tabs>
        <w:spacing w:line="240" w:lineRule="auto"/>
        <w:ind w:left="1134" w:hanging="708"/>
        <w:rPr>
          <w:color w:val="000000"/>
          <w:szCs w:val="24"/>
          <w:lang w:val="lv-LV"/>
        </w:rPr>
      </w:pPr>
      <w:r w:rsidRPr="000E2102">
        <w:rPr>
          <w:color w:val="000000"/>
          <w:szCs w:val="24"/>
          <w:lang w:val="lv-LV"/>
        </w:rPr>
        <w:t>Pārstāvēt ĪPAŠNIEKU visās tiesu instancēs un veikt ar tiesas sprieduma izpildi saistītās darbības. Ceļot tiesā prasību par LĪGUMA 4.1.9.apakšpunktā minēto parādu piedziņu no pašvaldības dzīvokļa īpašuma īrnieka, prasības pieteikumā ir jāiekļauj prasījums izbeigt pašvaldības dzīvokļa īpašuma īres līgumu ar īrnieku un izlikt īrnieku, viņa ģimenes locekļus un citas personas no pašvaldības dzīvokļa, ja to pieļauj spēkā esošie normatīvie akti.</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 xml:space="preserve">Ne retāk kā reizi ceturksnī, nepieciešamības gadījumos pieaicinot pašvaldības policijas pārstāvi, veikt kontroli par NEKUSTAMAJĀ ĪPAŠUMĀ esošajos dzīvokļos deklarētajām un iemitinātajām personām, pieprasīt informāciju par dzīvokļu lietošanas tiesisko pamatu no personām, kuras tos lieto, un rakstiski līdz ceturkšņa nākamā mēneša 15.datumam informēt ĪPAŠNIEKU par veikto kontroli un visiem gadījumiem, kad pašvaldības dzīvokļa īpašums tiek lietots bez tiesiska pamata. </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trike/>
          <w:szCs w:val="24"/>
          <w:lang w:val="lv-LV"/>
        </w:rPr>
      </w:pPr>
      <w:r w:rsidRPr="000E2102">
        <w:rPr>
          <w:rStyle w:val="FontStyle15"/>
          <w:szCs w:val="24"/>
          <w:lang w:val="lv-LV"/>
        </w:rPr>
        <w:t>ĪPAŠNIEKA vārdā sniegt prasības pieteikumu tiesā par personu izlikšanu no patvaļīgi aizņemtajiem pašvaldības dzīvokļiem.</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Pēc ĪPAŠNIEKA pieprasījuma, bet ne vēlāk kā divu nedēļu laikā no pieprasījuma saņemšanas dienas, sniegt informāciju par NEKUSTAMAJĀ ĪPAŠUMĀ esošo dzīvokļu pārvaldīšanas un apsaimniekošanas procesu un ar to saistītos finanšu dokumentus;</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PĀRVALDNIEKAM nav pilnvarojuma izīrēt un iznomāt ĪPAŠNIEKAM piederošās dzīvojamās un nedzīvojamās telpas NEKUSTAMAJĀ ĪPAŠUMĀ;</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Iesniegt ĪPAŠNIEKAM paziņojumu un apsekošanas aktu par neizīrētajiem dzīvokļiem un neiznomātajām neapdzīvojamām telpām 7 (septiņu) dienu laikā pēc to atbrīvošanas, vienlaikus iesniedzot pārskatu par īres (pārvaldīšanas) maksas, maksas par sniegtajiem pakalpojumiem un obligāto maksājumu saistību izpildi par neizīrētajiem dzīvokļiem un neiznomātajām neapdzīvojamām telpām, kā arī pasākumiem, kas veikti saskaņā ar LĪGUMA 4.1.8. un 4.1.9.apakšpunktā minēto saistību izpildi.</w:t>
      </w:r>
    </w:p>
    <w:p w:rsidR="00851986" w:rsidRPr="000E2102" w:rsidRDefault="00851986" w:rsidP="00851986">
      <w:pPr>
        <w:pStyle w:val="Style11"/>
        <w:widowControl/>
        <w:numPr>
          <w:ilvl w:val="2"/>
          <w:numId w:val="3"/>
        </w:numPr>
        <w:tabs>
          <w:tab w:val="left" w:pos="0"/>
        </w:tabs>
        <w:spacing w:line="240" w:lineRule="auto"/>
        <w:ind w:left="1134" w:hanging="708"/>
        <w:rPr>
          <w:szCs w:val="24"/>
          <w:lang w:val="lv-LV"/>
        </w:rPr>
      </w:pPr>
      <w:r w:rsidRPr="000E2102">
        <w:rPr>
          <w:rStyle w:val="FontStyle15"/>
          <w:szCs w:val="24"/>
          <w:lang w:val="lv-LV"/>
        </w:rPr>
        <w:t>Nekavējoties rakstiski</w:t>
      </w:r>
      <w:r w:rsidRPr="000E2102">
        <w:rPr>
          <w:szCs w:val="24"/>
          <w:lang w:val="lv-LV"/>
        </w:rPr>
        <w:t xml:space="preserve"> informēt ĪPAŠNIEKU par nepieciešamajiem, steidzami veicamajiem pasākumiem dzīvojamās mājas pasargāšanai no bojāejas, sabrukuma vai izpostījuma, iesniedzot šo pasākumu plānoto izmaksu tāmi.</w:t>
      </w:r>
    </w:p>
    <w:p w:rsidR="00851986" w:rsidRPr="000E2102" w:rsidRDefault="00851986" w:rsidP="00851986">
      <w:pPr>
        <w:pStyle w:val="Style11"/>
        <w:widowControl/>
        <w:numPr>
          <w:ilvl w:val="2"/>
          <w:numId w:val="3"/>
        </w:numPr>
        <w:tabs>
          <w:tab w:val="left" w:pos="0"/>
        </w:tabs>
        <w:spacing w:line="240" w:lineRule="auto"/>
        <w:ind w:left="1134" w:hanging="708"/>
        <w:rPr>
          <w:szCs w:val="24"/>
          <w:lang w:val="lv-LV"/>
        </w:rPr>
      </w:pPr>
      <w:r w:rsidRPr="000E2102">
        <w:rPr>
          <w:rStyle w:val="FontStyle15"/>
          <w:szCs w:val="24"/>
          <w:lang w:val="lv-LV"/>
        </w:rPr>
        <w:t xml:space="preserve">10 (desmit) darba dienu laikā rakstiski </w:t>
      </w:r>
      <w:r w:rsidRPr="000E2102">
        <w:rPr>
          <w:szCs w:val="24"/>
          <w:lang w:val="lv-LV"/>
        </w:rPr>
        <w:t>paziņot</w:t>
      </w:r>
      <w:r w:rsidRPr="000E2102">
        <w:rPr>
          <w:b/>
          <w:szCs w:val="24"/>
          <w:lang w:val="lv-LV"/>
        </w:rPr>
        <w:t xml:space="preserve"> </w:t>
      </w:r>
      <w:r w:rsidRPr="000E2102">
        <w:rPr>
          <w:szCs w:val="24"/>
          <w:lang w:val="lv-LV"/>
        </w:rPr>
        <w:t>ĪPAŠNIEKAM par NEKUSTAMAJĀ ĪPAŠUMĀ avārijas situācijas novēršanai veiktajiem darbiem, kā arī šo darbu izmaksu tāmi.</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color w:val="000000"/>
          <w:szCs w:val="24"/>
          <w:lang w:val="lv-LV"/>
        </w:rPr>
      </w:pPr>
      <w:r w:rsidRPr="000E2102">
        <w:rPr>
          <w:rStyle w:val="FontStyle15"/>
          <w:color w:val="000000"/>
          <w:szCs w:val="24"/>
          <w:lang w:val="lv-LV"/>
        </w:rPr>
        <w:t>Nodrošināt informatīvā tālruņa funkcionēšanu 24 (divdesmit četras) stundas diennaktī avārijas situāciju pieteikšanai un rakstiski informēt NEKUSTAMĀ ĪPAŠUMA dzīvokļu īrniekus par iespēju izmantot informatīvo tālruni.</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color w:val="000000"/>
          <w:szCs w:val="24"/>
          <w:lang w:val="lv-LV"/>
        </w:rPr>
        <w:t>I</w:t>
      </w:r>
      <w:r w:rsidRPr="000E2102">
        <w:rPr>
          <w:rStyle w:val="FontStyle15"/>
          <w:szCs w:val="24"/>
          <w:lang w:val="lv-LV"/>
        </w:rPr>
        <w:t>ekārtot katrai NEKUSTAMĀ ĪPAŠUMA sastāvā esošajai dzīvojamai mājai mājas lietu, atbilstoši ārējos normatīvajos aktos noteiktajam lietas saturam.</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 xml:space="preserve">Nodrošināt atsevišķu finanšu uzskaiti par pārvaldīšanā nodoto NEKUSTAMO ĪPAŠUMU. </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lastRenderedPageBreak/>
        <w:t>Atbilstoši ĪPAŠNIEKA norādījumiem ĪPAŠNIEKA noteiktajos termiņos iesniegt pašvaldības budžeta līdzekļu pieprasījumu nākamajam kalendārajam gadam to izdevumu segšanai, kas ir nepieciešami NEKUSTAMĀ ĪPAŠUMA uzturēšanai labā stāvoklī, bet nav iekļauti pārvaldīšanas (apsaimniekošanas) maksā.</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Nodrošināt pašvaldības budžeta līdzekļu izlietojuma veikšanu atbilstoši normatīvajiem aktiem, kā arī ĪPAŠNIEKA norādījumiem.</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 xml:space="preserve">Iesniegt pašvaldības budžeta līdzekļu izlietojuma pārskatus ĪPAŠNIEKA noteiktajā kārtībā un termiņos. </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PĀRVALDNIEKA tiesības:</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Atbilstoši LĪGUMA nosacījumiem, apstiprinātajām pārvaldīšanas un apsaimniekošanas tāmēm attiecīgajam gadam, izrakstītajiem rēķiniem, saņemt no dzīvokļu īrniekiem maksu par NEKUSTAMĀ ĪPAŠUMA pārvaldīšanu un apsaimniekošanu.</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Veikt esošo inženierkomunikāciju un NEKUSTAMĀ ĪPAŠUMA elementu vizuālo apskati un neatliekamo remontu, ne vēlāk kā trīs dienas iepriekš saskaņojot šo darbu veikšanu ar dzīvokļa īrnieku vai nomnieku, ja šo darbu veikšana saistīta ar iekļūšanu izīrētājā vai iznomātajā telpā, bet avārijas situācijā – nekavējoties.</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Iesniegt tiesā prasības par parādu piedziņu no dzīvokļu īrniekiem, īres (nomas) līgumu izbeigšanu un īrnieku – parādnieku, un citu iemitināto personu izlikšanu no NEKUSTAMĀ ĪPAŠUMA un minētajās civillietās veikt nepieciešamās darbības, lai nodrošinātu tiesas spriedumu izpildi.</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Lai iesniegtu tiesā 4.1.9.5.apakšpunktā minētās prasības pieteikumu, PĀRVALDNIEKAM ir tiesības Jūrmalas pilsētas pašvaldības vārdā sagatavot, pieprasīt un saņemt visus nepieciešamos dokumentus.</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Pieprasīt informāciju par ĪPAŠNIEKA noslēgtajiem īres un nomas līgumiem.</w:t>
      </w:r>
    </w:p>
    <w:p w:rsidR="00851986" w:rsidRPr="000E2102" w:rsidRDefault="00851986" w:rsidP="00851986">
      <w:pPr>
        <w:pStyle w:val="Style11"/>
        <w:widowControl/>
        <w:spacing w:line="240" w:lineRule="auto"/>
        <w:ind w:firstLine="0"/>
        <w:jc w:val="left"/>
        <w:rPr>
          <w:szCs w:val="24"/>
          <w:lang w:val="lv-LV"/>
        </w:rPr>
      </w:pPr>
    </w:p>
    <w:p w:rsidR="00851986" w:rsidRPr="000E2102" w:rsidRDefault="00851986" w:rsidP="00851986">
      <w:pPr>
        <w:pStyle w:val="Style11"/>
        <w:widowControl/>
        <w:numPr>
          <w:ilvl w:val="0"/>
          <w:numId w:val="3"/>
        </w:numPr>
        <w:tabs>
          <w:tab w:val="left" w:pos="0"/>
        </w:tabs>
        <w:spacing w:line="240" w:lineRule="auto"/>
        <w:jc w:val="center"/>
        <w:rPr>
          <w:rStyle w:val="FontStyle15"/>
          <w:szCs w:val="24"/>
          <w:lang w:val="lv-LV"/>
        </w:rPr>
      </w:pPr>
      <w:r w:rsidRPr="000E2102">
        <w:rPr>
          <w:rStyle w:val="FontStyle15"/>
          <w:szCs w:val="24"/>
          <w:lang w:val="lv-LV"/>
        </w:rPr>
        <w:t xml:space="preserve">ĪPAŠNIEKA tiesības un pienākumi </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ĪPAŠNIEKA pienākumi:</w:t>
      </w:r>
    </w:p>
    <w:p w:rsidR="00851986" w:rsidRPr="000E2102" w:rsidRDefault="00851986" w:rsidP="00851986">
      <w:pPr>
        <w:pStyle w:val="Style11"/>
        <w:widowControl/>
        <w:numPr>
          <w:ilvl w:val="2"/>
          <w:numId w:val="3"/>
        </w:numPr>
        <w:tabs>
          <w:tab w:val="left" w:pos="0"/>
        </w:tabs>
        <w:spacing w:line="240" w:lineRule="auto"/>
        <w:ind w:left="1134" w:hanging="708"/>
        <w:rPr>
          <w:rStyle w:val="FontStyle15"/>
          <w:szCs w:val="24"/>
          <w:lang w:val="lv-LV"/>
        </w:rPr>
      </w:pPr>
      <w:r w:rsidRPr="000E2102">
        <w:rPr>
          <w:rStyle w:val="FontStyle15"/>
          <w:szCs w:val="24"/>
          <w:lang w:val="lv-LV"/>
        </w:rPr>
        <w:t xml:space="preserve">Pēc PĀRVALDNIEKA pieprasījuma sniegt ĪPAŠNIEKA rīcībā esošo informāciju par NEKUSTAMO ĪPAŠUMU, tā īrniekiem un nomniekiem </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 xml:space="preserve">Ne vēlāk kā 5 (piecu) darba dienu laikā pēc </w:t>
      </w:r>
      <w:r w:rsidRPr="000E2102">
        <w:rPr>
          <w:rStyle w:val="FontStyle16"/>
          <w:szCs w:val="24"/>
          <w:lang w:val="lv-LV"/>
        </w:rPr>
        <w:t xml:space="preserve">NEKUSTAMAJĀ ĪPAŠUMĀ esošo dzīvokļu īres vai nedzīvojamo telpu nomas līguma noslēgšanas, </w:t>
      </w:r>
      <w:r w:rsidRPr="000E2102">
        <w:rPr>
          <w:rStyle w:val="FontStyle15"/>
          <w:szCs w:val="24"/>
          <w:lang w:val="lv-LV"/>
        </w:rPr>
        <w:t>nosūtīt īres vai nomas līguma apliecināto kopiju uz PĀRVALDNIEKA norādīto pasta un/vai elektroniski uz norādīto e-pasta adresi.</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Informēt PĀRVALDNIEKU par NEKUSTAMAJĀ ĪPAŠUMĀ esošo dzīvokļu īrnieku maiņu.</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 xml:space="preserve">Izvērtēt un apstiprināt LĪGUMA 4.1.15.apakšpunktā minētos dokumentus. </w:t>
      </w:r>
    </w:p>
    <w:p w:rsidR="00851986" w:rsidRPr="000E2102" w:rsidRDefault="00851986" w:rsidP="00851986">
      <w:pPr>
        <w:pStyle w:val="Style11"/>
        <w:widowControl/>
        <w:numPr>
          <w:ilvl w:val="2"/>
          <w:numId w:val="3"/>
        </w:numPr>
        <w:spacing w:line="240" w:lineRule="auto"/>
        <w:ind w:left="1134" w:hanging="708"/>
        <w:rPr>
          <w:rStyle w:val="FontStyle16"/>
          <w:szCs w:val="24"/>
          <w:lang w:val="lv-LV"/>
        </w:rPr>
      </w:pPr>
      <w:r w:rsidRPr="000E2102">
        <w:rPr>
          <w:rStyle w:val="FontStyle16"/>
          <w:szCs w:val="24"/>
          <w:lang w:val="lv-LV"/>
        </w:rPr>
        <w:t>Norēķināties ar PĀRVALDNIEKU par ĪPAŠNIEKA neizīrētajiem (neiznomātajiem) dzīvokļiem proporcionāli tiem</w:t>
      </w:r>
      <w:r w:rsidRPr="000E2102">
        <w:rPr>
          <w:rStyle w:val="FontStyle16"/>
          <w:b/>
          <w:szCs w:val="24"/>
          <w:lang w:val="lv-LV"/>
        </w:rPr>
        <w:t xml:space="preserve"> </w:t>
      </w:r>
      <w:r w:rsidRPr="000E2102">
        <w:rPr>
          <w:rStyle w:val="FontStyle16"/>
          <w:szCs w:val="24"/>
          <w:lang w:val="lv-LV"/>
        </w:rPr>
        <w:t>piekrītošajai īres maksai, komunālajiem un citiem maksājumiem,  atbilstoši LĪGUMA nosacījumiem, ja PĀRVALDNIEKS ir informējis ĪPAŠNIEKU LĪGUMA 4.1.15. apakšpunktā noteiktajā kārtībā un atbilstoši izrakstītiem rēķiniem.</w:t>
      </w:r>
    </w:p>
    <w:p w:rsidR="00851986" w:rsidRPr="000E2102" w:rsidRDefault="00851986" w:rsidP="00851986">
      <w:pPr>
        <w:pStyle w:val="Style11"/>
        <w:widowControl/>
        <w:numPr>
          <w:ilvl w:val="2"/>
          <w:numId w:val="3"/>
        </w:numPr>
        <w:tabs>
          <w:tab w:val="left" w:pos="567"/>
        </w:tabs>
        <w:spacing w:line="240" w:lineRule="auto"/>
        <w:ind w:left="1134" w:hanging="708"/>
        <w:rPr>
          <w:szCs w:val="24"/>
          <w:lang w:val="lv-LV"/>
        </w:rPr>
      </w:pPr>
      <w:r w:rsidRPr="000E2102">
        <w:rPr>
          <w:rStyle w:val="FontStyle16"/>
          <w:szCs w:val="24"/>
          <w:lang w:val="lv-LV"/>
        </w:rPr>
        <w:t>Segt PĀRVALDNIEKAM</w:t>
      </w:r>
      <w:r w:rsidRPr="000E2102">
        <w:rPr>
          <w:szCs w:val="24"/>
          <w:lang w:val="lv-LV"/>
        </w:rPr>
        <w:t xml:space="preserve"> Civilprocesa likuma 33.panta otrajā daļā minētos tiesas izdevumus (</w:t>
      </w:r>
      <w:r w:rsidRPr="000E2102">
        <w:rPr>
          <w:snapToGrid w:val="0"/>
          <w:szCs w:val="24"/>
          <w:lang w:val="lv-LV" w:eastAsia="en-US"/>
        </w:rPr>
        <w:t xml:space="preserve">valsts nodeva, kancelejas nodeva), ja PĀRVALDNIEKS ir iesniedzis prasības pieteikumu tiesā par </w:t>
      </w:r>
      <w:r w:rsidRPr="000E2102">
        <w:rPr>
          <w:szCs w:val="24"/>
          <w:lang w:val="lv-LV"/>
        </w:rPr>
        <w:t xml:space="preserve">pašvaldības dzīvokļa īrnieka parādu piedziņu, īres līguma izbeigšanu un īrnieka, viņa ģimenes locekļu un citu iemitināto personu izlikšanu. PĀRVALDNIEKS iesniedz ĪPAŠNIEKAM maksājumu apliecinošu dokumentu par tiesas izdevumu samaksu. Ja tiesas sprieduma izpildes rezultātā finanšu līdzekļi no atbildētāja (īrnieka/nomnieka) tiek atgūti, PĀRVALDNIEKS no piedzītajiem finanšu līdzekļiem pirms pamatparāda segšanas atmaksā ĪPAŠNIEKAM samaksātos tiesas izdevumus. Ja tiesas sprieduma izpildes </w:t>
      </w:r>
      <w:r w:rsidRPr="000E2102">
        <w:rPr>
          <w:szCs w:val="24"/>
          <w:lang w:val="lv-LV"/>
        </w:rPr>
        <w:lastRenderedPageBreak/>
        <w:t>gaitā tiek secināts, ka parāda atgūšana nav iespējama, ĪPAŠNIEKS sedz šajā punktā minētos tiesas izdevumus.</w:t>
      </w:r>
    </w:p>
    <w:p w:rsidR="00851986" w:rsidRPr="000E2102" w:rsidRDefault="00851986" w:rsidP="00851986">
      <w:pPr>
        <w:pStyle w:val="Style11"/>
        <w:widowControl/>
        <w:numPr>
          <w:ilvl w:val="1"/>
          <w:numId w:val="3"/>
        </w:numPr>
        <w:spacing w:line="240" w:lineRule="auto"/>
        <w:ind w:left="426" w:hanging="426"/>
        <w:rPr>
          <w:rStyle w:val="FontStyle15"/>
          <w:color w:val="000000"/>
          <w:szCs w:val="24"/>
          <w:lang w:val="lv-LV"/>
        </w:rPr>
      </w:pPr>
      <w:r w:rsidRPr="000E2102">
        <w:rPr>
          <w:rStyle w:val="FontStyle15"/>
          <w:color w:val="000000"/>
          <w:szCs w:val="24"/>
          <w:lang w:val="lv-LV"/>
        </w:rPr>
        <w:t xml:space="preserve">ĪPAŠNIEKA tiesības: </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Pieprasīt no PĀRVALDNIEKA ar NEKUSTAMĀ ĪPAŠUMA pārvaldīšanu saistītos finanšu un citus dokumentus, pieprasīt un saņemt paskaidrojumus, kā arī citas atskaites (elektroniski un papīra formā) par jebkurām PĀRVALDNIEKA darbībām saistībā ar NEKUSTAMĀ ĪPAŠUMA pārvaldīšanu un LĪGUMU.</w:t>
      </w:r>
    </w:p>
    <w:p w:rsidR="00851986" w:rsidRPr="000E2102" w:rsidRDefault="00851986" w:rsidP="00851986">
      <w:pPr>
        <w:pStyle w:val="Style11"/>
        <w:widowControl/>
        <w:numPr>
          <w:ilvl w:val="2"/>
          <w:numId w:val="3"/>
        </w:numPr>
        <w:spacing w:line="240" w:lineRule="auto"/>
        <w:ind w:left="1134" w:hanging="708"/>
        <w:rPr>
          <w:rStyle w:val="FontStyle15"/>
          <w:szCs w:val="24"/>
          <w:lang w:val="lv-LV"/>
        </w:rPr>
      </w:pPr>
      <w:r w:rsidRPr="000E2102">
        <w:rPr>
          <w:rStyle w:val="FontStyle15"/>
          <w:szCs w:val="24"/>
          <w:lang w:val="lv-LV"/>
        </w:rPr>
        <w:t xml:space="preserve">Pēc ĪPAŠNIEKA ieskatiem veikt auditu par LĪGUMA saistību izpildi. </w:t>
      </w:r>
    </w:p>
    <w:p w:rsidR="00851986" w:rsidRDefault="00851986" w:rsidP="00851986">
      <w:pPr>
        <w:pStyle w:val="Style9"/>
        <w:widowControl/>
        <w:jc w:val="center"/>
        <w:rPr>
          <w:rStyle w:val="FontStyle15"/>
          <w:szCs w:val="24"/>
          <w:lang w:val="lv-LV"/>
        </w:rPr>
      </w:pPr>
    </w:p>
    <w:p w:rsidR="00851986" w:rsidRPr="000E2102" w:rsidRDefault="00851986" w:rsidP="00851986">
      <w:pPr>
        <w:pStyle w:val="Style9"/>
        <w:widowControl/>
        <w:numPr>
          <w:ilvl w:val="0"/>
          <w:numId w:val="3"/>
        </w:numPr>
        <w:jc w:val="center"/>
        <w:rPr>
          <w:rStyle w:val="FontStyle15"/>
          <w:szCs w:val="24"/>
          <w:lang w:val="lv-LV"/>
        </w:rPr>
      </w:pPr>
      <w:r w:rsidRPr="000E2102">
        <w:rPr>
          <w:rStyle w:val="FontStyle15"/>
          <w:szCs w:val="24"/>
          <w:lang w:val="lv-LV"/>
        </w:rPr>
        <w:t>Finanšu jautājumi</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PĀRVALDNIEKS LĪGUMĀ minēto pārvaldīšanas darbību veikšanai nepieciešamos izdevumus sedz no līdzekļiem, kas iegūti, pārvaldot NEKUSTAMO ĪPAŠUMU, kā arī ĪPAŠNIEKA piešķirto finanšu līdzekļu ietvaros.</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PĀRVALDNIEKS, atbilstoši LĪGUMA 4.1.9. un 4.1.15.apakšpunktiem iesniedz ĪPAŠNIEKAM rēķinus un maksājumu pamatojošus dokumentus reizi ceturksnī līdz nākamā ceturkšņa pirmā mēneša 15.datumam. ĪPAŠNIEKS 20 (divdesmit) darba dienu laikā izskata PĀRVALDNIEKA iesniegtos dokumentus un apmaksā rēķinu vai nosūta PĀRVALDNIEKAM iebildumus.</w:t>
      </w:r>
    </w:p>
    <w:p w:rsidR="00851986"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Pašvaldības budžeta līdzekļi tiek pārskaitīti PĀRVALDNIEKAM ĪPAŠNIEKA noteiktajā kārtībā.</w:t>
      </w:r>
    </w:p>
    <w:p w:rsidR="00851986" w:rsidRPr="000E2102" w:rsidRDefault="00851986" w:rsidP="00851986">
      <w:pPr>
        <w:pStyle w:val="Style11"/>
        <w:widowControl/>
        <w:spacing w:line="240" w:lineRule="auto"/>
        <w:ind w:left="426" w:firstLine="0"/>
        <w:rPr>
          <w:rStyle w:val="FontStyle15"/>
          <w:szCs w:val="24"/>
          <w:lang w:val="lv-LV"/>
        </w:rPr>
      </w:pPr>
    </w:p>
    <w:p w:rsidR="00851986" w:rsidRPr="000E2102" w:rsidRDefault="00851986" w:rsidP="00851986">
      <w:pPr>
        <w:pStyle w:val="Style9"/>
        <w:widowControl/>
        <w:numPr>
          <w:ilvl w:val="0"/>
          <w:numId w:val="3"/>
        </w:numPr>
        <w:jc w:val="center"/>
        <w:rPr>
          <w:rStyle w:val="FontStyle15"/>
          <w:szCs w:val="24"/>
          <w:lang w:val="lv-LV"/>
        </w:rPr>
      </w:pPr>
      <w:r w:rsidRPr="000E2102">
        <w:rPr>
          <w:rStyle w:val="FontStyle15"/>
          <w:szCs w:val="24"/>
          <w:lang w:val="lv-LV"/>
        </w:rPr>
        <w:t>Līguma grozīšana un izbeigšana</w:t>
      </w:r>
    </w:p>
    <w:p w:rsidR="00851986" w:rsidRPr="000E2102" w:rsidRDefault="00851986" w:rsidP="00851986">
      <w:pPr>
        <w:numPr>
          <w:ilvl w:val="1"/>
          <w:numId w:val="3"/>
        </w:numPr>
        <w:ind w:left="426" w:hanging="426"/>
        <w:jc w:val="both"/>
        <w:rPr>
          <w:szCs w:val="24"/>
        </w:rPr>
      </w:pPr>
      <w:r w:rsidRPr="000E2102">
        <w:rPr>
          <w:szCs w:val="24"/>
        </w:rPr>
        <w:t xml:space="preserve">Jebkuras izmaiņas LĪGUMĀ ir spēkā, ja tās noformētas rakstiski un abas PUSES to ir parakstījušas. </w:t>
      </w:r>
    </w:p>
    <w:p w:rsidR="00851986" w:rsidRPr="000E2102" w:rsidRDefault="00851986" w:rsidP="00851986">
      <w:pPr>
        <w:pStyle w:val="Title"/>
        <w:numPr>
          <w:ilvl w:val="1"/>
          <w:numId w:val="3"/>
        </w:numPr>
        <w:ind w:left="426" w:hanging="426"/>
        <w:jc w:val="both"/>
        <w:rPr>
          <w:rStyle w:val="FontStyle15"/>
          <w:b w:val="0"/>
          <w:sz w:val="24"/>
          <w:lang w:val="lv-LV"/>
        </w:rPr>
      </w:pPr>
      <w:r w:rsidRPr="000E2102">
        <w:rPr>
          <w:rStyle w:val="FontStyle15"/>
          <w:b w:val="0"/>
          <w:sz w:val="24"/>
          <w:lang w:val="lv-LV"/>
        </w:rPr>
        <w:t>LĪGUMS zaudē savu spēku ar jauna līguma par ĪPAŠUMA pārvaldīšanu noslēgšanai ar ĪPAŠNIEKA izvēlēto pārvaldnieku.</w:t>
      </w:r>
    </w:p>
    <w:p w:rsidR="00851986" w:rsidRPr="000E2102" w:rsidRDefault="00851986" w:rsidP="00851986">
      <w:pPr>
        <w:numPr>
          <w:ilvl w:val="1"/>
          <w:numId w:val="3"/>
        </w:numPr>
        <w:ind w:left="426" w:hanging="426"/>
        <w:jc w:val="both"/>
        <w:rPr>
          <w:szCs w:val="24"/>
        </w:rPr>
      </w:pPr>
      <w:r w:rsidRPr="000E2102">
        <w:rPr>
          <w:szCs w:val="24"/>
        </w:rPr>
        <w:t>LĪGUMU pirms termiņa var izbeigt, PUSĒM rakstiski vienojoties.</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 xml:space="preserve">ĪPAŠNIEKS var vienpusēji izbeigt LĪGUMU pirms termiņa, rakstiski par to paziņojot otrai pusei ne vēlāk kā 3 (trīs) mēnešus iepriekš, norādot LĪGUMA izbeigšanas pamatu un datumu, ja ir konstatēti LĪGUMA noteikumu pārkāpumi, PĀRVALDNIEKS par to ir brīdināts un ĪPAŠNIEKA noteiktajā termiņā pārkāpumi nav novērsti. </w:t>
      </w:r>
    </w:p>
    <w:p w:rsidR="00851986"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Ja LĪGUMS tiek izbeigts vai tiek pārtrauktas līgumattiecības par LĪGUMA 1.pielikumā minētā NEKUSTAMĀ ĪPAŠUMA sastāvā esošu dzīvojamo māju PĀRVALDNIEKS ar nodošanas – pieņemšanas aktu nodod to ĪPAŠNIEKAM vai tā norādītajai trešajai personai.</w:t>
      </w:r>
    </w:p>
    <w:p w:rsidR="00851986" w:rsidRPr="000E2102" w:rsidRDefault="00851986" w:rsidP="00851986">
      <w:pPr>
        <w:pStyle w:val="Style11"/>
        <w:widowControl/>
        <w:spacing w:line="240" w:lineRule="auto"/>
        <w:ind w:left="426" w:firstLine="0"/>
        <w:rPr>
          <w:rStyle w:val="FontStyle15"/>
          <w:szCs w:val="24"/>
          <w:lang w:val="lv-LV"/>
        </w:rPr>
      </w:pPr>
    </w:p>
    <w:p w:rsidR="00851986" w:rsidRPr="000E2102" w:rsidRDefault="00851986" w:rsidP="00851986">
      <w:pPr>
        <w:pStyle w:val="Style9"/>
        <w:widowControl/>
        <w:numPr>
          <w:ilvl w:val="0"/>
          <w:numId w:val="3"/>
        </w:numPr>
        <w:jc w:val="center"/>
        <w:rPr>
          <w:rStyle w:val="FontStyle15"/>
          <w:szCs w:val="24"/>
          <w:lang w:val="lv-LV"/>
        </w:rPr>
      </w:pPr>
      <w:r w:rsidRPr="000E2102">
        <w:rPr>
          <w:rStyle w:val="FontStyle15"/>
          <w:szCs w:val="24"/>
          <w:lang w:val="lv-LV"/>
        </w:rPr>
        <w:t>Pārvaldnieka atbildība</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PĀRVALDNIEKS atlīdzina ĪPAŠNIEKAM visus tiešos zaudējumus, kas radušies PĀRVALDNIEKAM nepienācīgi vai nolaidīgi izpildot savus pienākumus un LĪGUMA saistības.</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PĀRVALDNIEKS ir atbildīgs par trešajām personām nodarīto kaitējumu, kas radies, PĀRVALDNIEKAM pildot (vai nepildot) NEKUSTAMĀ ĪPAŠUMA obligāti veicamās pārvaldīšanas darbības un citas ar LĪGUMU uzņemtās saistības.</w:t>
      </w:r>
    </w:p>
    <w:p w:rsidR="00851986" w:rsidRDefault="00851986" w:rsidP="00851986">
      <w:pPr>
        <w:pStyle w:val="Style9"/>
        <w:widowControl/>
        <w:jc w:val="center"/>
        <w:rPr>
          <w:rStyle w:val="FontStyle15"/>
          <w:szCs w:val="24"/>
          <w:lang w:val="lv-LV"/>
        </w:rPr>
      </w:pPr>
    </w:p>
    <w:p w:rsidR="00851986" w:rsidRPr="000E2102" w:rsidRDefault="00851986" w:rsidP="00851986">
      <w:pPr>
        <w:pStyle w:val="Style9"/>
        <w:widowControl/>
        <w:numPr>
          <w:ilvl w:val="0"/>
          <w:numId w:val="3"/>
        </w:numPr>
        <w:jc w:val="center"/>
        <w:rPr>
          <w:rStyle w:val="FontStyle15"/>
          <w:szCs w:val="24"/>
          <w:lang w:val="lv-LV"/>
        </w:rPr>
      </w:pPr>
      <w:r w:rsidRPr="000E2102">
        <w:rPr>
          <w:rStyle w:val="FontStyle15"/>
          <w:szCs w:val="24"/>
          <w:lang w:val="lv-LV"/>
        </w:rPr>
        <w:t xml:space="preserve">Citi noteikumi </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 xml:space="preserve">Strīdi, domstarpības un pretrunas, kas radušies starp PUSĒM, pildot LĪGUMA noteikumus, tiek risināti savstarpējās pārrunās. Ja PUSES tās neatrisina pārrunās, jebkurš strīds, kas izriet no LĪGUMA, skar to, tā pārkāpšanu vai spēkā esamību, tiek izšķirts tiesā saskaņā ar spēkā esošajiem normatīvajiem aktiem. </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PĀRVALDNIEKAM nav tiesību LĪGUMĀ pielīgtos pārvaldīšanas pienākumus nodot tālāk trešajām personām. Atsevišķu darbu un pakalpojumu veikšanai PĀRVALDNIEKAM ir tiesības slēgt līgumus ar trešajām personām.</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LĪGUMA pielikumi ir neatņemama tā sastāvdaļa;</w:t>
      </w:r>
    </w:p>
    <w:p w:rsidR="00851986" w:rsidRPr="000E2102"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lastRenderedPageBreak/>
        <w:t>Pildot saistības saskaņā ar LĪGUMU, tiek piemēroti vispārpieņemtie nepārvaramas varas principi. Nepārvaramas varas gadījumā nekavējoties jāinformē otra puse un jāvienojas par saistību tālāko izpildi.</w:t>
      </w:r>
    </w:p>
    <w:p w:rsidR="00851986" w:rsidRDefault="00851986" w:rsidP="00851986">
      <w:pPr>
        <w:pStyle w:val="Style11"/>
        <w:widowControl/>
        <w:numPr>
          <w:ilvl w:val="1"/>
          <w:numId w:val="3"/>
        </w:numPr>
        <w:spacing w:line="240" w:lineRule="auto"/>
        <w:ind w:left="426" w:hanging="426"/>
        <w:rPr>
          <w:rStyle w:val="FontStyle15"/>
          <w:szCs w:val="24"/>
          <w:lang w:val="lv-LV"/>
        </w:rPr>
      </w:pPr>
      <w:r w:rsidRPr="000E2102">
        <w:rPr>
          <w:rStyle w:val="FontStyle15"/>
          <w:szCs w:val="24"/>
          <w:lang w:val="lv-LV"/>
        </w:rPr>
        <w:t>LĪGUMS sagatavots 2 (divos) eksemplāros, pa vienam katrai PUSEI. LĪGUMS sastāv no teksta daļas uz _____ lapām, 1.pielikuma uz ___ lapām, 2.pielikuma uz __ lapām, kopā uz ___ lapām.</w:t>
      </w:r>
    </w:p>
    <w:p w:rsidR="00851986" w:rsidRPr="000E2102" w:rsidRDefault="00851986" w:rsidP="00851986">
      <w:pPr>
        <w:pStyle w:val="Style11"/>
        <w:widowControl/>
        <w:spacing w:line="240" w:lineRule="auto"/>
        <w:ind w:left="426" w:firstLine="0"/>
        <w:rPr>
          <w:rStyle w:val="FontStyle15"/>
          <w:szCs w:val="24"/>
          <w:lang w:val="lv-LV"/>
        </w:rPr>
      </w:pPr>
    </w:p>
    <w:p w:rsidR="00851986" w:rsidRPr="000E2102" w:rsidRDefault="00851986" w:rsidP="00851986">
      <w:pPr>
        <w:pStyle w:val="Style11"/>
        <w:widowControl/>
        <w:numPr>
          <w:ilvl w:val="0"/>
          <w:numId w:val="3"/>
        </w:numPr>
        <w:spacing w:line="240" w:lineRule="auto"/>
        <w:jc w:val="center"/>
        <w:rPr>
          <w:rStyle w:val="FontStyle15"/>
          <w:szCs w:val="24"/>
          <w:lang w:val="lv-LV"/>
        </w:rPr>
      </w:pPr>
      <w:r w:rsidRPr="000E2102">
        <w:rPr>
          <w:rStyle w:val="FontStyle15"/>
          <w:szCs w:val="24"/>
          <w:lang w:val="lv-LV"/>
        </w:rPr>
        <w:t>Pušu rekvizīti</w:t>
      </w:r>
    </w:p>
    <w:p w:rsidR="00851986" w:rsidRPr="000E2102" w:rsidRDefault="00851986" w:rsidP="00851986">
      <w:pPr>
        <w:pStyle w:val="Style11"/>
        <w:widowControl/>
        <w:tabs>
          <w:tab w:val="left" w:pos="1123"/>
        </w:tabs>
        <w:spacing w:line="240" w:lineRule="auto"/>
        <w:ind w:firstLine="0"/>
        <w:rPr>
          <w:rStyle w:val="FontStyle15"/>
          <w:szCs w:val="24"/>
          <w:lang w:val="lv-LV"/>
        </w:rPr>
      </w:pPr>
      <w:r w:rsidRPr="000E2102">
        <w:rPr>
          <w:rStyle w:val="FontStyle15"/>
          <w:szCs w:val="24"/>
          <w:lang w:val="lv-LV"/>
        </w:rPr>
        <w:t>ĪPAŠNIEKS</w:t>
      </w:r>
      <w:r w:rsidRPr="000E2102">
        <w:rPr>
          <w:rStyle w:val="FontStyle15"/>
          <w:szCs w:val="24"/>
          <w:lang w:val="lv-LV"/>
        </w:rPr>
        <w:tab/>
      </w:r>
      <w:r w:rsidRPr="000E2102">
        <w:rPr>
          <w:rStyle w:val="FontStyle15"/>
          <w:szCs w:val="24"/>
          <w:lang w:val="lv-LV"/>
        </w:rPr>
        <w:tab/>
      </w:r>
      <w:r w:rsidRPr="000E2102">
        <w:rPr>
          <w:rStyle w:val="FontStyle15"/>
          <w:szCs w:val="24"/>
          <w:lang w:val="lv-LV"/>
        </w:rPr>
        <w:tab/>
      </w:r>
      <w:r w:rsidRPr="000E2102">
        <w:rPr>
          <w:rStyle w:val="FontStyle15"/>
          <w:szCs w:val="24"/>
          <w:lang w:val="lv-LV"/>
        </w:rPr>
        <w:tab/>
      </w:r>
      <w:r>
        <w:rPr>
          <w:rStyle w:val="FontStyle15"/>
          <w:szCs w:val="24"/>
          <w:lang w:val="lv-LV"/>
        </w:rPr>
        <w:tab/>
      </w:r>
      <w:r w:rsidRPr="000E2102">
        <w:rPr>
          <w:rStyle w:val="FontStyle15"/>
          <w:szCs w:val="24"/>
          <w:lang w:val="lv-LV"/>
        </w:rPr>
        <w:t>PĀRVALDNIEKS</w:t>
      </w:r>
    </w:p>
    <w:tbl>
      <w:tblPr>
        <w:tblW w:w="0" w:type="auto"/>
        <w:tblLayout w:type="fixed"/>
        <w:tblLook w:val="0000" w:firstRow="0" w:lastRow="0" w:firstColumn="0" w:lastColumn="0" w:noHBand="0" w:noVBand="0"/>
      </w:tblPr>
      <w:tblGrid>
        <w:gridCol w:w="4219"/>
        <w:gridCol w:w="4820"/>
      </w:tblGrid>
      <w:tr w:rsidR="00851986" w:rsidRPr="000E2102" w:rsidTr="00E80A96">
        <w:tblPrEx>
          <w:tblCellMar>
            <w:top w:w="0" w:type="dxa"/>
            <w:bottom w:w="0" w:type="dxa"/>
          </w:tblCellMar>
        </w:tblPrEx>
        <w:tc>
          <w:tcPr>
            <w:tcW w:w="4219" w:type="dxa"/>
          </w:tcPr>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Jūrmalas pilsētas dome</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Reģ. Nr.90000056357</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Jomas iela 1/5, Jūrmala, LV-2015</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Priekšsēdētājs G.Truksnis</w:t>
            </w:r>
          </w:p>
          <w:p w:rsidR="00851986" w:rsidRPr="000E2102" w:rsidRDefault="00851986" w:rsidP="00E80A96">
            <w:pPr>
              <w:pStyle w:val="Style11"/>
              <w:widowControl/>
              <w:tabs>
                <w:tab w:val="left" w:pos="1123"/>
              </w:tabs>
              <w:spacing w:line="240" w:lineRule="auto"/>
              <w:ind w:firstLine="0"/>
              <w:rPr>
                <w:rStyle w:val="FontStyle15"/>
                <w:szCs w:val="24"/>
                <w:lang w:val="lv-LV"/>
              </w:rPr>
            </w:pP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Z.v.</w:t>
            </w:r>
          </w:p>
        </w:tc>
        <w:tc>
          <w:tcPr>
            <w:tcW w:w="4820" w:type="dxa"/>
          </w:tcPr>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Privatizējamā SIA „Jūrmalas namsaimnieks”</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Reģ. Nr.40003426429</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Jomas iela 17, Jūrmala, LV-2015</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Valdes priekšsēdētājs J.Daugavvanags</w:t>
            </w:r>
          </w:p>
          <w:p w:rsidR="00851986" w:rsidRPr="000E2102" w:rsidRDefault="00851986" w:rsidP="00E80A96">
            <w:pPr>
              <w:pStyle w:val="Style11"/>
              <w:widowControl/>
              <w:tabs>
                <w:tab w:val="left" w:pos="1123"/>
              </w:tabs>
              <w:spacing w:line="240" w:lineRule="auto"/>
              <w:ind w:firstLine="0"/>
              <w:rPr>
                <w:rStyle w:val="FontStyle15"/>
                <w:szCs w:val="24"/>
                <w:lang w:val="lv-LV"/>
              </w:rPr>
            </w:pP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w:t>
            </w: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Z.v.</w:t>
            </w:r>
          </w:p>
          <w:p w:rsidR="00851986" w:rsidRPr="000E2102" w:rsidRDefault="00851986" w:rsidP="00E80A96">
            <w:pPr>
              <w:pStyle w:val="Style11"/>
              <w:widowControl/>
              <w:tabs>
                <w:tab w:val="left" w:pos="1123"/>
              </w:tabs>
              <w:spacing w:line="240" w:lineRule="auto"/>
              <w:ind w:firstLine="0"/>
              <w:rPr>
                <w:rStyle w:val="FontStyle15"/>
                <w:szCs w:val="24"/>
                <w:lang w:val="lv-LV"/>
              </w:rPr>
            </w:pPr>
          </w:p>
          <w:p w:rsidR="00851986" w:rsidRPr="000E2102" w:rsidRDefault="00851986" w:rsidP="00E80A96">
            <w:pPr>
              <w:pStyle w:val="Style11"/>
              <w:widowControl/>
              <w:tabs>
                <w:tab w:val="left" w:pos="1123"/>
              </w:tabs>
              <w:spacing w:line="240" w:lineRule="auto"/>
              <w:ind w:firstLine="0"/>
              <w:rPr>
                <w:rStyle w:val="FontStyle15"/>
                <w:szCs w:val="24"/>
                <w:lang w:val="lv-LV"/>
              </w:rPr>
            </w:pPr>
            <w:r w:rsidRPr="000E2102">
              <w:rPr>
                <w:rStyle w:val="FontStyle15"/>
                <w:szCs w:val="24"/>
                <w:lang w:val="lv-LV"/>
              </w:rPr>
              <w:t>Valdes loceklis J</w:t>
            </w:r>
            <w:r w:rsidRPr="000E2102">
              <w:rPr>
                <w:noProof/>
                <w:color w:val="000000"/>
                <w:szCs w:val="24"/>
                <w:lang w:val="lv-LV"/>
              </w:rPr>
              <w:t>. Skutels</w:t>
            </w:r>
          </w:p>
        </w:tc>
      </w:tr>
    </w:tbl>
    <w:p w:rsidR="00851986" w:rsidRPr="000E2102" w:rsidRDefault="00851986" w:rsidP="00851986">
      <w:pPr>
        <w:rPr>
          <w:rStyle w:val="FontStyle15"/>
          <w:b/>
          <w:szCs w:val="24"/>
        </w:rPr>
      </w:pPr>
    </w:p>
    <w:p w:rsidR="00851986" w:rsidRPr="009A6AB2" w:rsidRDefault="00851986" w:rsidP="00851986">
      <w:pPr>
        <w:jc w:val="right"/>
        <w:rPr>
          <w:sz w:val="18"/>
          <w:szCs w:val="18"/>
        </w:rPr>
      </w:pPr>
      <w:r>
        <w:rPr>
          <w:rStyle w:val="FontStyle15"/>
          <w:b/>
          <w:szCs w:val="24"/>
        </w:rPr>
        <w:br w:type="page"/>
      </w:r>
      <w:r w:rsidRPr="009A6AB2">
        <w:rPr>
          <w:sz w:val="18"/>
          <w:szCs w:val="18"/>
        </w:rPr>
        <w:lastRenderedPageBreak/>
        <w:t>1.pielikums</w:t>
      </w:r>
    </w:p>
    <w:p w:rsidR="00851986" w:rsidRPr="009A6AB2" w:rsidRDefault="00851986" w:rsidP="00851986">
      <w:pPr>
        <w:jc w:val="right"/>
        <w:rPr>
          <w:sz w:val="18"/>
          <w:szCs w:val="18"/>
        </w:rPr>
      </w:pPr>
      <w:r w:rsidRPr="009A6AB2">
        <w:rPr>
          <w:sz w:val="18"/>
          <w:szCs w:val="18"/>
        </w:rPr>
        <w:t>pie 201</w:t>
      </w:r>
      <w:r>
        <w:rPr>
          <w:sz w:val="18"/>
          <w:szCs w:val="18"/>
        </w:rPr>
        <w:t>___</w:t>
      </w:r>
      <w:r w:rsidRPr="009A6AB2">
        <w:rPr>
          <w:sz w:val="18"/>
          <w:szCs w:val="18"/>
        </w:rPr>
        <w:t>.gada "___"____________</w:t>
      </w:r>
    </w:p>
    <w:p w:rsidR="00851986" w:rsidRPr="009A6AB2" w:rsidRDefault="00851986" w:rsidP="00851986">
      <w:pPr>
        <w:jc w:val="right"/>
        <w:rPr>
          <w:sz w:val="18"/>
          <w:szCs w:val="18"/>
        </w:rPr>
      </w:pPr>
      <w:r w:rsidRPr="009A6AB2">
        <w:rPr>
          <w:sz w:val="18"/>
          <w:szCs w:val="18"/>
        </w:rPr>
        <w:t>pilnvarojuma līguma Nr.__________</w:t>
      </w:r>
    </w:p>
    <w:p w:rsidR="00851986" w:rsidRDefault="00851986" w:rsidP="00851986">
      <w:pPr>
        <w:rPr>
          <w:sz w:val="26"/>
          <w:szCs w:val="26"/>
        </w:rPr>
      </w:pPr>
    </w:p>
    <w:tbl>
      <w:tblPr>
        <w:tblW w:w="5000" w:type="pct"/>
        <w:tblLook w:val="04A0" w:firstRow="1" w:lastRow="0" w:firstColumn="1" w:lastColumn="0" w:noHBand="0" w:noVBand="1"/>
      </w:tblPr>
      <w:tblGrid>
        <w:gridCol w:w="552"/>
        <w:gridCol w:w="1675"/>
        <w:gridCol w:w="1502"/>
        <w:gridCol w:w="1674"/>
        <w:gridCol w:w="1287"/>
        <w:gridCol w:w="1832"/>
      </w:tblGrid>
      <w:tr w:rsidR="00851986" w:rsidRPr="000A7EF2" w:rsidTr="00E80A96">
        <w:trPr>
          <w:trHeight w:val="255"/>
        </w:trPr>
        <w:tc>
          <w:tcPr>
            <w:tcW w:w="5000" w:type="pct"/>
            <w:gridSpan w:val="6"/>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b/>
                <w:bCs/>
                <w:sz w:val="18"/>
                <w:szCs w:val="18"/>
              </w:rPr>
              <w:t>Jūrmalas pilsētas pašvaldības īpašumā  esošo  dzīvojamo māju saraksts</w:t>
            </w:r>
          </w:p>
        </w:tc>
      </w:tr>
      <w:tr w:rsidR="00851986" w:rsidRPr="000A7EF2" w:rsidTr="00E80A96">
        <w:trPr>
          <w:trHeight w:val="255"/>
        </w:trPr>
        <w:tc>
          <w:tcPr>
            <w:tcW w:w="324"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983"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881" w:type="pct"/>
            <w:tcBorders>
              <w:top w:val="nil"/>
              <w:left w:val="nil"/>
              <w:bottom w:val="nil"/>
              <w:right w:val="nil"/>
            </w:tcBorders>
            <w:shd w:val="clear" w:color="auto" w:fill="auto"/>
            <w:vAlign w:val="bottom"/>
            <w:hideMark/>
          </w:tcPr>
          <w:p w:rsidR="00851986" w:rsidRPr="009A6AB2" w:rsidRDefault="00851986" w:rsidP="00E80A96">
            <w:pPr>
              <w:overflowPunct/>
              <w:autoSpaceDE/>
              <w:autoSpaceDN/>
              <w:adjustRightInd/>
              <w:textAlignment w:val="auto"/>
              <w:rPr>
                <w:sz w:val="18"/>
                <w:szCs w:val="18"/>
              </w:rPr>
            </w:pPr>
          </w:p>
        </w:tc>
        <w:tc>
          <w:tcPr>
            <w:tcW w:w="98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75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075" w:type="pct"/>
            <w:tcBorders>
              <w:top w:val="nil"/>
              <w:left w:val="nil"/>
              <w:bottom w:val="nil"/>
              <w:right w:val="nil"/>
            </w:tcBorders>
            <w:shd w:val="clear" w:color="auto" w:fill="auto"/>
            <w:vAlign w:val="bottom"/>
            <w:hideMark/>
          </w:tcPr>
          <w:p w:rsidR="00851986" w:rsidRPr="009A6AB2" w:rsidRDefault="00851986" w:rsidP="00E80A96">
            <w:pPr>
              <w:overflowPunct/>
              <w:autoSpaceDE/>
              <w:autoSpaceDN/>
              <w:adjustRightInd/>
              <w:textAlignment w:val="auto"/>
              <w:rPr>
                <w:sz w:val="18"/>
                <w:szCs w:val="18"/>
              </w:rPr>
            </w:pPr>
          </w:p>
        </w:tc>
      </w:tr>
      <w:tr w:rsidR="00851986" w:rsidRPr="000A7EF2" w:rsidTr="00E80A96">
        <w:trPr>
          <w:trHeight w:val="1260"/>
        </w:trPr>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 p/k</w:t>
            </w:r>
          </w:p>
        </w:tc>
        <w:tc>
          <w:tcPr>
            <w:tcW w:w="983" w:type="pct"/>
            <w:tcBorders>
              <w:top w:val="single" w:sz="4" w:space="0" w:color="auto"/>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Adrese</w:t>
            </w:r>
          </w:p>
        </w:tc>
        <w:tc>
          <w:tcPr>
            <w:tcW w:w="881" w:type="pct"/>
            <w:tcBorders>
              <w:top w:val="single" w:sz="4" w:space="0" w:color="auto"/>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Būves tips</w:t>
            </w:r>
          </w:p>
        </w:tc>
        <w:tc>
          <w:tcPr>
            <w:tcW w:w="982" w:type="pct"/>
            <w:tcBorders>
              <w:top w:val="single" w:sz="4" w:space="0" w:color="auto"/>
              <w:left w:val="nil"/>
              <w:bottom w:val="single" w:sz="4" w:space="0" w:color="auto"/>
              <w:right w:val="single" w:sz="4" w:space="0" w:color="auto"/>
            </w:tcBorders>
            <w:shd w:val="clear" w:color="auto" w:fill="auto"/>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Kadastra apzīmējums</w:t>
            </w:r>
          </w:p>
        </w:tc>
        <w:tc>
          <w:tcPr>
            <w:tcW w:w="755" w:type="pct"/>
            <w:tcBorders>
              <w:top w:val="single" w:sz="4" w:space="0" w:color="auto"/>
              <w:left w:val="nil"/>
              <w:bottom w:val="single" w:sz="4" w:space="0" w:color="auto"/>
              <w:right w:val="single" w:sz="4" w:space="0" w:color="auto"/>
            </w:tcBorders>
            <w:shd w:val="clear" w:color="auto" w:fill="auto"/>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Zemesgabala platība kv.m</w:t>
            </w:r>
          </w:p>
        </w:tc>
        <w:tc>
          <w:tcPr>
            <w:tcW w:w="1075" w:type="pct"/>
            <w:tcBorders>
              <w:top w:val="single" w:sz="4" w:space="0" w:color="auto"/>
              <w:left w:val="nil"/>
              <w:bottom w:val="single" w:sz="4" w:space="0" w:color="auto"/>
              <w:right w:val="single" w:sz="4" w:space="0" w:color="auto"/>
            </w:tcBorders>
            <w:shd w:val="clear" w:color="auto" w:fill="auto"/>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Pašvaldības īpašumā  esošie dzīvokļi un nedz.telpas( Nr.)</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Brocēnu iela 3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dzīvojamā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13000263611001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 Nr.4, Nr.5</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Brocēnu iela 3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šķūnis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13000263611002</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1.2</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Brocēnu iela 3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šķūnis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13000263611004</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Brocēnu iela 3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zemesgabals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13000263611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1652</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2</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Dzirnavu iela 34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dzīvojamā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13000219508001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Nr.2, Nr.4, Nr.5</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3</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Karogu iela 17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dzīvojamā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13000260901001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3.1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Karogu iela 17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šķūnis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13000260901003</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3.2</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Karogu iela 17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pagrabs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13000260901004</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3.3</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Karogu iela 17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nojume</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13000260901006</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3.4</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Karogu iela 17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zemesgabals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13000260901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2860</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4</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Ķeguma iela 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dzīvojamā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13000216309001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Nr.1 -  Nr.16</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4.1.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Ķeguma iela 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palīgceltne</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13000216309007</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4.2.</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Ķeguma iela 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palīgceltne</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13000216309008</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4.3</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Ķeguma iela 7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zemesgabals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13000216309</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546</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5</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Nometņu iela 2A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kopmītnes ēka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13000201405001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Nr.101 - 527</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5.1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Nometņu iela 2A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zemesgabals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13000201405</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2974</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6</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Raiņa iela 62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dzīvojamā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13000207003001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Nr.4 -Nr.121.</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6.1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Raiņa iela 62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zemesgabals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13000207003</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7</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Skolas iela 44</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dzīvojamā māja</w:t>
            </w:r>
          </w:p>
        </w:tc>
        <w:tc>
          <w:tcPr>
            <w:tcW w:w="982" w:type="pct"/>
            <w:tcBorders>
              <w:top w:val="nil"/>
              <w:left w:val="nil"/>
              <w:bottom w:val="single" w:sz="4" w:space="0" w:color="auto"/>
              <w:right w:val="nil"/>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13000200707001</w:t>
            </w:r>
          </w:p>
        </w:tc>
        <w:tc>
          <w:tcPr>
            <w:tcW w:w="755" w:type="pct"/>
            <w:tcBorders>
              <w:top w:val="nil"/>
              <w:left w:val="single" w:sz="4" w:space="0" w:color="auto"/>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i/>
                <w:iCs/>
                <w:sz w:val="18"/>
                <w:szCs w:val="18"/>
                <w:u w:val="single"/>
              </w:rPr>
            </w:pPr>
            <w:r w:rsidRPr="009A6AB2">
              <w:rPr>
                <w:i/>
                <w:iCs/>
                <w:sz w:val="18"/>
                <w:szCs w:val="18"/>
                <w:u w:val="single"/>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Nr.1 - Nr.110</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7.1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Skolas iela 44</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zemesgablas</w:t>
            </w:r>
          </w:p>
        </w:tc>
        <w:tc>
          <w:tcPr>
            <w:tcW w:w="982" w:type="pct"/>
            <w:tcBorders>
              <w:top w:val="nil"/>
              <w:left w:val="nil"/>
              <w:bottom w:val="single" w:sz="4" w:space="0" w:color="auto"/>
              <w:right w:val="nil"/>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13000200707</w:t>
            </w:r>
          </w:p>
        </w:tc>
        <w:tc>
          <w:tcPr>
            <w:tcW w:w="755" w:type="pct"/>
            <w:tcBorders>
              <w:top w:val="nil"/>
              <w:left w:val="single" w:sz="4" w:space="0" w:color="auto"/>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i/>
                <w:iCs/>
                <w:sz w:val="18"/>
                <w:szCs w:val="18"/>
                <w:u w:val="single"/>
              </w:rPr>
            </w:pPr>
            <w:r w:rsidRPr="009A6AB2">
              <w:rPr>
                <w:i/>
                <w:iCs/>
                <w:sz w:val="18"/>
                <w:szCs w:val="18"/>
                <w:u w:val="single"/>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3878</w:t>
            </w:r>
          </w:p>
        </w:tc>
      </w:tr>
      <w:tr w:rsidR="00851986" w:rsidRPr="000A7EF2" w:rsidTr="00E80A96">
        <w:trPr>
          <w:trHeight w:val="495"/>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8</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Slokas iela 55a k-1</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dienesta viesnīca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13000103511001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Nr.1 - Nr.22</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9</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Slokas iela 57A</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sociālā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Pr>
                <w:sz w:val="18"/>
                <w:szCs w:val="18"/>
              </w:rPr>
              <w:t>13</w:t>
            </w:r>
            <w:r w:rsidRPr="009A6AB2">
              <w:rPr>
                <w:sz w:val="18"/>
                <w:szCs w:val="18"/>
              </w:rPr>
              <w:t>000103510001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Nr.1 - Nr.44</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10</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Slokas iela 63 k-3</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dienesta viesnīca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13000103742003</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Nr.1 - Nr.32</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10.1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Slokas iela 63 k-3</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zemesgabals</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13000103742</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882</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Valkas iela 3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sociālā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13000217909001</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Nr.1- Nr.20</w:t>
            </w:r>
          </w:p>
        </w:tc>
      </w:tr>
      <w:tr w:rsidR="00851986" w:rsidRPr="000A7EF2" w:rsidTr="00E80A96">
        <w:trPr>
          <w:trHeight w:val="360"/>
        </w:trPr>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11.1</w:t>
            </w:r>
          </w:p>
        </w:tc>
        <w:tc>
          <w:tcPr>
            <w:tcW w:w="983"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xml:space="preserve">Valkas iela 3 </w:t>
            </w:r>
          </w:p>
        </w:tc>
        <w:tc>
          <w:tcPr>
            <w:tcW w:w="881"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sociālā māja</w:t>
            </w:r>
          </w:p>
        </w:tc>
        <w:tc>
          <w:tcPr>
            <w:tcW w:w="982"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13000207003</w:t>
            </w:r>
          </w:p>
        </w:tc>
        <w:tc>
          <w:tcPr>
            <w:tcW w:w="75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1231</w:t>
            </w:r>
          </w:p>
        </w:tc>
        <w:tc>
          <w:tcPr>
            <w:tcW w:w="1075" w:type="pct"/>
            <w:tcBorders>
              <w:top w:val="nil"/>
              <w:left w:val="nil"/>
              <w:bottom w:val="single" w:sz="4" w:space="0" w:color="auto"/>
              <w:right w:val="single" w:sz="4" w:space="0" w:color="auto"/>
            </w:tcBorders>
            <w:shd w:val="clear" w:color="000000" w:fill="FFFFFF"/>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r>
    </w:tbl>
    <w:p w:rsidR="00851986" w:rsidRDefault="00851986" w:rsidP="00851986">
      <w:pPr>
        <w:rPr>
          <w:sz w:val="26"/>
          <w:szCs w:val="26"/>
        </w:rPr>
      </w:pPr>
    </w:p>
    <w:p w:rsidR="00851986" w:rsidRPr="009A6AB2" w:rsidRDefault="00851986" w:rsidP="00851986">
      <w:pPr>
        <w:jc w:val="right"/>
        <w:rPr>
          <w:sz w:val="20"/>
        </w:rPr>
      </w:pPr>
      <w:r>
        <w:rPr>
          <w:sz w:val="26"/>
          <w:szCs w:val="26"/>
        </w:rPr>
        <w:br w:type="page"/>
      </w:r>
      <w:r w:rsidRPr="009A6AB2">
        <w:rPr>
          <w:sz w:val="20"/>
        </w:rPr>
        <w:lastRenderedPageBreak/>
        <w:t>2.pielikums</w:t>
      </w:r>
    </w:p>
    <w:p w:rsidR="00851986" w:rsidRPr="009A6AB2" w:rsidRDefault="00851986" w:rsidP="00851986">
      <w:pPr>
        <w:jc w:val="right"/>
        <w:rPr>
          <w:sz w:val="20"/>
        </w:rPr>
      </w:pPr>
      <w:r w:rsidRPr="009A6AB2">
        <w:rPr>
          <w:sz w:val="20"/>
        </w:rPr>
        <w:t>pie 201</w:t>
      </w:r>
      <w:r>
        <w:rPr>
          <w:sz w:val="20"/>
        </w:rPr>
        <w:t>__</w:t>
      </w:r>
      <w:r w:rsidRPr="009A6AB2">
        <w:rPr>
          <w:sz w:val="20"/>
        </w:rPr>
        <w:t>.gada "____"______</w:t>
      </w:r>
    </w:p>
    <w:p w:rsidR="00851986" w:rsidRDefault="00851986" w:rsidP="00851986">
      <w:pPr>
        <w:jc w:val="right"/>
        <w:rPr>
          <w:rFonts w:ascii="Arial" w:hAnsi="Arial" w:cs="Arial"/>
          <w:sz w:val="20"/>
        </w:rPr>
      </w:pPr>
      <w:r w:rsidRPr="009A6AB2">
        <w:rPr>
          <w:sz w:val="20"/>
        </w:rPr>
        <w:t>pilnvarojuma līguma Nr.___________</w:t>
      </w:r>
    </w:p>
    <w:p w:rsidR="00851986" w:rsidRDefault="00851986" w:rsidP="00851986">
      <w:pPr>
        <w:jc w:val="right"/>
        <w:rPr>
          <w:sz w:val="26"/>
          <w:szCs w:val="26"/>
        </w:rPr>
      </w:pPr>
    </w:p>
    <w:tbl>
      <w:tblPr>
        <w:tblW w:w="5000" w:type="pct"/>
        <w:tblLook w:val="04A0" w:firstRow="1" w:lastRow="0" w:firstColumn="1" w:lastColumn="0" w:noHBand="0" w:noVBand="1"/>
      </w:tblPr>
      <w:tblGrid>
        <w:gridCol w:w="598"/>
        <w:gridCol w:w="3214"/>
        <w:gridCol w:w="698"/>
        <w:gridCol w:w="507"/>
        <w:gridCol w:w="737"/>
        <w:gridCol w:w="847"/>
        <w:gridCol w:w="847"/>
        <w:gridCol w:w="601"/>
        <w:gridCol w:w="473"/>
      </w:tblGrid>
      <w:tr w:rsidR="00851986" w:rsidRPr="006578D5" w:rsidTr="00E80A96">
        <w:trPr>
          <w:trHeight w:val="315"/>
        </w:trPr>
        <w:tc>
          <w:tcPr>
            <w:tcW w:w="5000" w:type="pct"/>
            <w:gridSpan w:val="9"/>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center"/>
              <w:textAlignment w:val="auto"/>
              <w:rPr>
                <w:b/>
                <w:bCs/>
                <w:szCs w:val="24"/>
              </w:rPr>
            </w:pPr>
            <w:r w:rsidRPr="009A6AB2">
              <w:rPr>
                <w:b/>
                <w:bCs/>
                <w:szCs w:val="24"/>
              </w:rPr>
              <w:t>FINANŠU PIEDĀVĀJUMS</w:t>
            </w: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20"/>
              </w:rPr>
            </w:pP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20"/>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35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r>
      <w:tr w:rsidR="00851986" w:rsidRPr="006578D5" w:rsidTr="00E80A96">
        <w:trPr>
          <w:trHeight w:val="510"/>
        </w:trPr>
        <w:tc>
          <w:tcPr>
            <w:tcW w:w="5000" w:type="pct"/>
            <w:gridSpan w:val="9"/>
            <w:tcBorders>
              <w:top w:val="nil"/>
              <w:left w:val="nil"/>
              <w:bottom w:val="nil"/>
              <w:right w:val="nil"/>
            </w:tcBorders>
            <w:shd w:val="clear" w:color="auto" w:fill="auto"/>
            <w:hideMark/>
          </w:tcPr>
          <w:p w:rsidR="00851986" w:rsidRPr="009A6AB2" w:rsidRDefault="00851986" w:rsidP="00E80A96">
            <w:pPr>
              <w:overflowPunct/>
              <w:autoSpaceDE/>
              <w:autoSpaceDN/>
              <w:adjustRightInd/>
              <w:jc w:val="center"/>
              <w:textAlignment w:val="auto"/>
              <w:rPr>
                <w:b/>
                <w:bCs/>
                <w:sz w:val="20"/>
              </w:rPr>
            </w:pPr>
            <w:r w:rsidRPr="009A6AB2">
              <w:rPr>
                <w:b/>
                <w:bCs/>
                <w:sz w:val="20"/>
              </w:rPr>
              <w:t>Dzīvojamās mājas uzturēšanas un apsaimniekošanas darbu plānotā ieņēmumu un izdevumu tāme 2014.gadam</w:t>
            </w:r>
          </w:p>
        </w:tc>
      </w:tr>
      <w:tr w:rsidR="00851986" w:rsidRPr="006578D5" w:rsidTr="00E80A96">
        <w:trPr>
          <w:trHeight w:val="495"/>
        </w:trPr>
        <w:tc>
          <w:tcPr>
            <w:tcW w:w="351"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Mājas adrese</w:t>
            </w:r>
          </w:p>
        </w:tc>
        <w:tc>
          <w:tcPr>
            <w:tcW w:w="1907" w:type="pct"/>
            <w:tcBorders>
              <w:top w:val="nil"/>
              <w:left w:val="nil"/>
              <w:bottom w:val="nil"/>
              <w:right w:val="nil"/>
            </w:tcBorders>
            <w:shd w:val="clear" w:color="auto" w:fill="auto"/>
            <w:noWrap/>
            <w:vAlign w:val="center"/>
            <w:hideMark/>
          </w:tcPr>
          <w:p w:rsidR="00851986" w:rsidRPr="009A6AB2" w:rsidRDefault="00851986" w:rsidP="00E80A96">
            <w:pPr>
              <w:overflowPunct/>
              <w:autoSpaceDE/>
              <w:autoSpaceDN/>
              <w:adjustRightInd/>
              <w:textAlignment w:val="auto"/>
              <w:rPr>
                <w:b/>
                <w:bCs/>
                <w:sz w:val="22"/>
                <w:szCs w:val="22"/>
              </w:rPr>
            </w:pPr>
          </w:p>
        </w:tc>
        <w:tc>
          <w:tcPr>
            <w:tcW w:w="701" w:type="pct"/>
            <w:gridSpan w:val="2"/>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Mājas pārvaldnieks</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b/>
                <w:bCs/>
                <w:sz w:val="18"/>
                <w:szCs w:val="18"/>
              </w:rPr>
            </w:pPr>
          </w:p>
        </w:tc>
        <w:tc>
          <w:tcPr>
            <w:tcW w:w="1617" w:type="pct"/>
            <w:gridSpan w:val="4"/>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Privatizējamā SIA "Jūrmalas namsaimnieks" reģ/Nr.40003426429, Jomas iela 17, Jūrmala</w:t>
            </w:r>
          </w:p>
        </w:tc>
      </w:tr>
      <w:tr w:rsidR="00851986" w:rsidRPr="006578D5" w:rsidTr="00E80A96">
        <w:trPr>
          <w:trHeight w:val="270"/>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701" w:type="pct"/>
            <w:gridSpan w:val="2"/>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Apkalpo filiāle</w:t>
            </w: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p>
        </w:tc>
        <w:tc>
          <w:tcPr>
            <w:tcW w:w="1617" w:type="pct"/>
            <w:gridSpan w:val="4"/>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p>
        </w:tc>
      </w:tr>
      <w:tr w:rsidR="00851986" w:rsidRPr="006578D5" w:rsidTr="00E80A96">
        <w:trPr>
          <w:trHeight w:val="240"/>
        </w:trPr>
        <w:tc>
          <w:tcPr>
            <w:tcW w:w="2257" w:type="pct"/>
            <w:gridSpan w:val="2"/>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Informācija par māju:</w:t>
            </w:r>
          </w:p>
        </w:tc>
        <w:tc>
          <w:tcPr>
            <w:tcW w:w="389"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35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1. Kopējā dzīvokļu īpašumu platība (m</w:t>
            </w:r>
            <w:r w:rsidRPr="009A6AB2">
              <w:rPr>
                <w:b/>
                <w:bCs/>
                <w:sz w:val="18"/>
                <w:szCs w:val="18"/>
                <w:vertAlign w:val="superscript"/>
              </w:rPr>
              <w:t>2</w:t>
            </w:r>
            <w:r w:rsidRPr="009A6AB2">
              <w:rPr>
                <w:b/>
                <w:bCs/>
                <w:sz w:val="18"/>
                <w:szCs w:val="18"/>
              </w:rPr>
              <w:t>), tai skaitā:</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339" w:type="pct"/>
            <w:gridSpan w:val="3"/>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9. Koplietošanas telpas (m</w:t>
            </w:r>
            <w:r w:rsidRPr="009A6AB2">
              <w:rPr>
                <w:b/>
                <w:bCs/>
                <w:sz w:val="18"/>
                <w:szCs w:val="18"/>
                <w:vertAlign w:val="superscript"/>
              </w:rPr>
              <w:t>2</w:t>
            </w:r>
            <w:r w:rsidRPr="009A6AB2">
              <w:rPr>
                <w:b/>
                <w:bCs/>
                <w:sz w:val="18"/>
                <w:szCs w:val="18"/>
              </w:rPr>
              <w:t>)</w:t>
            </w: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1.1. apkurināmā platība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984" w:type="pct"/>
            <w:gridSpan w:val="2"/>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9.1. kāpņu telpas</w:t>
            </w:r>
          </w:p>
        </w:tc>
        <w:tc>
          <w:tcPr>
            <w:tcW w:w="355"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1.2. balkonu/terašu platība ar koeficientu 0,3</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984" w:type="pct"/>
            <w:gridSpan w:val="2"/>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9.2. pagrabs</w:t>
            </w:r>
          </w:p>
        </w:tc>
        <w:tc>
          <w:tcPr>
            <w:tcW w:w="355"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1.3. lodžiju platība ar koeficientu 0,5</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92"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9.3. bēniņi</w:t>
            </w:r>
          </w:p>
        </w:tc>
        <w:tc>
          <w:tcPr>
            <w:tcW w:w="492"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55"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2. Dzīvokļu īpašumu skaits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339" w:type="pct"/>
            <w:gridSpan w:val="3"/>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9.4. logi koplietošanas telpās</w:t>
            </w: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3. Stāvu skaits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339" w:type="pct"/>
            <w:gridSpan w:val="3"/>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10. Apkopjamā platība (m</w:t>
            </w:r>
            <w:r w:rsidRPr="009A6AB2">
              <w:rPr>
                <w:b/>
                <w:bCs/>
                <w:sz w:val="18"/>
                <w:szCs w:val="18"/>
                <w:vertAlign w:val="superscript"/>
              </w:rPr>
              <w:t>2</w:t>
            </w:r>
            <w:r w:rsidRPr="009A6AB2">
              <w:rPr>
                <w:b/>
                <w:bCs/>
                <w:sz w:val="18"/>
                <w:szCs w:val="18"/>
              </w:rPr>
              <w:t>)</w:t>
            </w: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4. Kāpņu telpu skaits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92"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10.1. ietves</w:t>
            </w:r>
          </w:p>
        </w:tc>
        <w:tc>
          <w:tcPr>
            <w:tcW w:w="492"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55"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70"/>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5. Siltummezglu skaits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339" w:type="pct"/>
            <w:gridSpan w:val="3"/>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10.2. ielas braucamā daļa, laukumi</w:t>
            </w: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6. Liftu skaits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339" w:type="pct"/>
            <w:gridSpan w:val="3"/>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10.3. zāliens, apstādījumi</w:t>
            </w: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7. Atkritumu vadu skaits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339" w:type="pct"/>
            <w:gridSpan w:val="3"/>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10.4. konteineru laukumi</w:t>
            </w: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55"/>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8. /Cita informācija/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c>
          <w:tcPr>
            <w:tcW w:w="984" w:type="pct"/>
            <w:gridSpan w:val="2"/>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10.5. pļaušanas platība</w:t>
            </w:r>
          </w:p>
        </w:tc>
        <w:tc>
          <w:tcPr>
            <w:tcW w:w="355"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p>
        </w:tc>
      </w:tr>
      <w:tr w:rsidR="00851986" w:rsidRPr="006578D5" w:rsidTr="00E80A96">
        <w:trPr>
          <w:trHeight w:val="270"/>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20"/>
              </w:rPr>
            </w:pP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20"/>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35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r>
      <w:tr w:rsidR="00851986" w:rsidRPr="006578D5" w:rsidTr="00E80A96">
        <w:trPr>
          <w:trHeight w:val="1365"/>
        </w:trPr>
        <w:tc>
          <w:tcPr>
            <w:tcW w:w="351" w:type="pct"/>
            <w:tcBorders>
              <w:top w:val="double" w:sz="6" w:space="0" w:color="auto"/>
              <w:left w:val="double" w:sz="6" w:space="0" w:color="auto"/>
              <w:bottom w:val="nil"/>
              <w:right w:val="single" w:sz="4" w:space="0" w:color="auto"/>
            </w:tcBorders>
            <w:shd w:val="clear" w:color="auto" w:fill="auto"/>
            <w:vAlign w:val="bottom"/>
            <w:hideMark/>
          </w:tcPr>
          <w:p w:rsidR="00851986" w:rsidRPr="009A6AB2" w:rsidRDefault="00851986" w:rsidP="00E80A96">
            <w:pPr>
              <w:overflowPunct/>
              <w:autoSpaceDE/>
              <w:autoSpaceDN/>
              <w:adjustRightInd/>
              <w:jc w:val="center"/>
              <w:textAlignment w:val="auto"/>
              <w:rPr>
                <w:sz w:val="16"/>
                <w:szCs w:val="16"/>
              </w:rPr>
            </w:pPr>
            <w:r w:rsidRPr="009A6AB2">
              <w:rPr>
                <w:sz w:val="16"/>
                <w:szCs w:val="16"/>
              </w:rPr>
              <w:t>Nr.</w:t>
            </w:r>
          </w:p>
        </w:tc>
        <w:tc>
          <w:tcPr>
            <w:tcW w:w="2295" w:type="pct"/>
            <w:gridSpan w:val="2"/>
            <w:vMerge w:val="restart"/>
            <w:tcBorders>
              <w:top w:val="double" w:sz="6" w:space="0" w:color="auto"/>
              <w:left w:val="nil"/>
              <w:bottom w:val="single" w:sz="4" w:space="0" w:color="000000"/>
              <w:right w:val="nil"/>
            </w:tcBorders>
            <w:shd w:val="clear" w:color="auto" w:fill="auto"/>
            <w:hideMark/>
          </w:tcPr>
          <w:p w:rsidR="00851986" w:rsidRPr="009A6AB2" w:rsidRDefault="00851986" w:rsidP="00E80A96">
            <w:pPr>
              <w:overflowPunct/>
              <w:autoSpaceDE/>
              <w:autoSpaceDN/>
              <w:adjustRightInd/>
              <w:jc w:val="center"/>
              <w:textAlignment w:val="auto"/>
              <w:rPr>
                <w:sz w:val="16"/>
                <w:szCs w:val="16"/>
              </w:rPr>
            </w:pPr>
            <w:r w:rsidRPr="009A6AB2">
              <w:rPr>
                <w:sz w:val="16"/>
                <w:szCs w:val="16"/>
              </w:rPr>
              <w:t>Pakalpojums</w:t>
            </w:r>
          </w:p>
        </w:tc>
        <w:tc>
          <w:tcPr>
            <w:tcW w:w="737" w:type="pct"/>
            <w:gridSpan w:val="2"/>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851986" w:rsidRPr="009A6AB2" w:rsidRDefault="00851986" w:rsidP="00E80A96">
            <w:pPr>
              <w:overflowPunct/>
              <w:autoSpaceDE/>
              <w:autoSpaceDN/>
              <w:adjustRightInd/>
              <w:jc w:val="center"/>
              <w:textAlignment w:val="auto"/>
              <w:rPr>
                <w:sz w:val="16"/>
                <w:szCs w:val="16"/>
              </w:rPr>
            </w:pPr>
            <w:r w:rsidRPr="009A6AB2">
              <w:rPr>
                <w:sz w:val="16"/>
                <w:szCs w:val="16"/>
              </w:rPr>
              <w:t>Pakalpojuma apjoms vai aprēķina bāze</w:t>
            </w:r>
          </w:p>
        </w:tc>
        <w:tc>
          <w:tcPr>
            <w:tcW w:w="492" w:type="pct"/>
            <w:vMerge w:val="restart"/>
            <w:tcBorders>
              <w:top w:val="double" w:sz="6" w:space="0" w:color="auto"/>
              <w:left w:val="single" w:sz="4" w:space="0" w:color="auto"/>
              <w:bottom w:val="single" w:sz="4" w:space="0" w:color="000000"/>
              <w:right w:val="single" w:sz="4" w:space="0" w:color="auto"/>
            </w:tcBorders>
            <w:shd w:val="clear" w:color="auto" w:fill="auto"/>
            <w:vAlign w:val="bottom"/>
            <w:hideMark/>
          </w:tcPr>
          <w:p w:rsidR="00851986" w:rsidRPr="009A6AB2" w:rsidRDefault="00851986" w:rsidP="00E80A96">
            <w:pPr>
              <w:overflowPunct/>
              <w:autoSpaceDE/>
              <w:autoSpaceDN/>
              <w:adjustRightInd/>
              <w:jc w:val="center"/>
              <w:textAlignment w:val="auto"/>
              <w:rPr>
                <w:sz w:val="16"/>
                <w:szCs w:val="16"/>
              </w:rPr>
            </w:pPr>
            <w:r w:rsidRPr="009A6AB2">
              <w:rPr>
                <w:sz w:val="16"/>
                <w:szCs w:val="16"/>
              </w:rPr>
              <w:t>Pakalpojuma cena, par apjoma vienību</w:t>
            </w:r>
          </w:p>
        </w:tc>
        <w:tc>
          <w:tcPr>
            <w:tcW w:w="492" w:type="pct"/>
            <w:vMerge w:val="restart"/>
            <w:tcBorders>
              <w:top w:val="double" w:sz="6" w:space="0" w:color="auto"/>
              <w:left w:val="single" w:sz="4" w:space="0" w:color="auto"/>
              <w:bottom w:val="single" w:sz="4" w:space="0" w:color="000000"/>
              <w:right w:val="single" w:sz="4" w:space="0" w:color="auto"/>
            </w:tcBorders>
            <w:shd w:val="clear" w:color="auto" w:fill="auto"/>
            <w:vAlign w:val="bottom"/>
            <w:hideMark/>
          </w:tcPr>
          <w:p w:rsidR="00851986" w:rsidRPr="009A6AB2" w:rsidRDefault="00851986" w:rsidP="00E80A96">
            <w:pPr>
              <w:overflowPunct/>
              <w:autoSpaceDE/>
              <w:autoSpaceDN/>
              <w:adjustRightInd/>
              <w:jc w:val="center"/>
              <w:textAlignment w:val="auto"/>
              <w:rPr>
                <w:sz w:val="16"/>
                <w:szCs w:val="16"/>
              </w:rPr>
            </w:pPr>
            <w:r w:rsidRPr="009A6AB2">
              <w:rPr>
                <w:sz w:val="16"/>
                <w:szCs w:val="16"/>
              </w:rPr>
              <w:t>Pakalpojuma cena viena dzīvokļa īpašuma platības m</w:t>
            </w:r>
            <w:r w:rsidRPr="009A6AB2">
              <w:rPr>
                <w:sz w:val="16"/>
                <w:szCs w:val="16"/>
                <w:vertAlign w:val="superscript"/>
              </w:rPr>
              <w:t>2</w:t>
            </w:r>
            <w:r w:rsidRPr="009A6AB2">
              <w:rPr>
                <w:sz w:val="16"/>
                <w:szCs w:val="16"/>
              </w:rPr>
              <w:t xml:space="preserve"> mēnesī</w:t>
            </w:r>
          </w:p>
        </w:tc>
        <w:tc>
          <w:tcPr>
            <w:tcW w:w="633" w:type="pct"/>
            <w:gridSpan w:val="2"/>
            <w:tcBorders>
              <w:top w:val="double" w:sz="6" w:space="0" w:color="auto"/>
              <w:left w:val="nil"/>
              <w:bottom w:val="single" w:sz="4" w:space="0" w:color="auto"/>
              <w:right w:val="double" w:sz="6" w:space="0" w:color="000000"/>
            </w:tcBorders>
            <w:shd w:val="clear" w:color="auto" w:fill="auto"/>
            <w:vAlign w:val="bottom"/>
            <w:hideMark/>
          </w:tcPr>
          <w:p w:rsidR="00851986" w:rsidRPr="009A6AB2" w:rsidRDefault="00851986" w:rsidP="00E80A96">
            <w:pPr>
              <w:overflowPunct/>
              <w:autoSpaceDE/>
              <w:autoSpaceDN/>
              <w:adjustRightInd/>
              <w:jc w:val="center"/>
              <w:textAlignment w:val="auto"/>
              <w:rPr>
                <w:sz w:val="16"/>
                <w:szCs w:val="16"/>
              </w:rPr>
            </w:pPr>
            <w:r w:rsidRPr="009A6AB2">
              <w:rPr>
                <w:sz w:val="16"/>
                <w:szCs w:val="16"/>
              </w:rPr>
              <w:t>Summa (</w:t>
            </w:r>
            <w:r w:rsidRPr="009A6AB2">
              <w:rPr>
                <w:i/>
                <w:iCs/>
                <w:sz w:val="16"/>
                <w:szCs w:val="16"/>
              </w:rPr>
              <w:t>euro</w:t>
            </w:r>
            <w:r w:rsidRPr="009A6AB2">
              <w:rPr>
                <w:sz w:val="16"/>
                <w:szCs w:val="16"/>
              </w:rPr>
              <w:t>)</w:t>
            </w:r>
          </w:p>
        </w:tc>
      </w:tr>
      <w:tr w:rsidR="00851986" w:rsidRPr="006578D5" w:rsidTr="00E80A96">
        <w:trPr>
          <w:trHeight w:val="255"/>
        </w:trPr>
        <w:tc>
          <w:tcPr>
            <w:tcW w:w="351" w:type="pct"/>
            <w:tcBorders>
              <w:top w:val="nil"/>
              <w:left w:val="double" w:sz="6" w:space="0" w:color="auto"/>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p.k.</w:t>
            </w:r>
          </w:p>
        </w:tc>
        <w:tc>
          <w:tcPr>
            <w:tcW w:w="2295" w:type="pct"/>
            <w:gridSpan w:val="2"/>
            <w:vMerge/>
            <w:tcBorders>
              <w:top w:val="nil"/>
              <w:left w:val="double" w:sz="6" w:space="0" w:color="auto"/>
              <w:bottom w:val="single" w:sz="4" w:space="0" w:color="auto"/>
              <w:right w:val="single" w:sz="4" w:space="0" w:color="auto"/>
            </w:tcBorders>
            <w:vAlign w:val="center"/>
            <w:hideMark/>
          </w:tcPr>
          <w:p w:rsidR="00851986" w:rsidRPr="009A6AB2" w:rsidRDefault="00851986" w:rsidP="00E80A96">
            <w:pPr>
              <w:overflowPunct/>
              <w:autoSpaceDE/>
              <w:autoSpaceDN/>
              <w:adjustRightInd/>
              <w:textAlignment w:val="auto"/>
              <w:rPr>
                <w:sz w:val="16"/>
                <w:szCs w:val="16"/>
              </w:rPr>
            </w:pPr>
          </w:p>
        </w:tc>
        <w:tc>
          <w:tcPr>
            <w:tcW w:w="737" w:type="pct"/>
            <w:gridSpan w:val="2"/>
            <w:vMerge/>
            <w:tcBorders>
              <w:top w:val="nil"/>
              <w:left w:val="double" w:sz="6" w:space="0" w:color="auto"/>
              <w:bottom w:val="single" w:sz="4" w:space="0" w:color="auto"/>
              <w:right w:val="single" w:sz="4" w:space="0" w:color="auto"/>
            </w:tcBorders>
            <w:vAlign w:val="center"/>
            <w:hideMark/>
          </w:tcPr>
          <w:p w:rsidR="00851986" w:rsidRPr="009A6AB2" w:rsidRDefault="00851986" w:rsidP="00E80A96">
            <w:pPr>
              <w:overflowPunct/>
              <w:autoSpaceDE/>
              <w:autoSpaceDN/>
              <w:adjustRightInd/>
              <w:textAlignment w:val="auto"/>
              <w:rPr>
                <w:sz w:val="16"/>
                <w:szCs w:val="16"/>
              </w:rPr>
            </w:pPr>
          </w:p>
        </w:tc>
        <w:tc>
          <w:tcPr>
            <w:tcW w:w="492" w:type="pct"/>
            <w:vMerge/>
            <w:tcBorders>
              <w:top w:val="double" w:sz="6" w:space="0" w:color="auto"/>
              <w:left w:val="single" w:sz="4" w:space="0" w:color="auto"/>
              <w:bottom w:val="single" w:sz="4" w:space="0" w:color="000000"/>
              <w:right w:val="single" w:sz="4" w:space="0" w:color="auto"/>
            </w:tcBorders>
            <w:vAlign w:val="center"/>
            <w:hideMark/>
          </w:tcPr>
          <w:p w:rsidR="00851986" w:rsidRPr="009A6AB2" w:rsidRDefault="00851986" w:rsidP="00E80A96">
            <w:pPr>
              <w:overflowPunct/>
              <w:autoSpaceDE/>
              <w:autoSpaceDN/>
              <w:adjustRightInd/>
              <w:textAlignment w:val="auto"/>
              <w:rPr>
                <w:sz w:val="16"/>
                <w:szCs w:val="16"/>
              </w:rPr>
            </w:pPr>
          </w:p>
        </w:tc>
        <w:tc>
          <w:tcPr>
            <w:tcW w:w="492" w:type="pct"/>
            <w:vMerge/>
            <w:tcBorders>
              <w:top w:val="double" w:sz="6" w:space="0" w:color="auto"/>
              <w:left w:val="single" w:sz="4" w:space="0" w:color="auto"/>
              <w:bottom w:val="single" w:sz="4" w:space="0" w:color="000000"/>
              <w:right w:val="single" w:sz="4" w:space="0" w:color="auto"/>
            </w:tcBorders>
            <w:vAlign w:val="center"/>
            <w:hideMark/>
          </w:tcPr>
          <w:p w:rsidR="00851986" w:rsidRPr="009A6AB2" w:rsidRDefault="00851986" w:rsidP="00E80A96">
            <w:pPr>
              <w:overflowPunct/>
              <w:autoSpaceDE/>
              <w:autoSpaceDN/>
              <w:adjustRightInd/>
              <w:textAlignment w:val="auto"/>
              <w:rPr>
                <w:sz w:val="16"/>
                <w:szCs w:val="16"/>
              </w:rPr>
            </w:pPr>
          </w:p>
        </w:tc>
        <w:tc>
          <w:tcPr>
            <w:tcW w:w="355"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mēnesī</w:t>
            </w:r>
          </w:p>
        </w:tc>
        <w:tc>
          <w:tcPr>
            <w:tcW w:w="277" w:type="pct"/>
            <w:tcBorders>
              <w:top w:val="nil"/>
              <w:left w:val="nil"/>
              <w:bottom w:val="single" w:sz="4" w:space="0" w:color="auto"/>
              <w:right w:val="double" w:sz="6"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gadā</w:t>
            </w:r>
          </w:p>
        </w:tc>
      </w:tr>
      <w:tr w:rsidR="00851986" w:rsidRPr="006578D5" w:rsidTr="00E80A96">
        <w:trPr>
          <w:trHeight w:val="270"/>
        </w:trPr>
        <w:tc>
          <w:tcPr>
            <w:tcW w:w="351" w:type="pct"/>
            <w:tcBorders>
              <w:top w:val="nil"/>
              <w:left w:val="double" w:sz="6" w:space="0" w:color="auto"/>
              <w:bottom w:val="single" w:sz="8"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1</w:t>
            </w:r>
          </w:p>
        </w:tc>
        <w:tc>
          <w:tcPr>
            <w:tcW w:w="2295" w:type="pct"/>
            <w:gridSpan w:val="2"/>
            <w:tcBorders>
              <w:top w:val="single" w:sz="4" w:space="0" w:color="auto"/>
              <w:left w:val="nil"/>
              <w:bottom w:val="single" w:sz="8" w:space="0" w:color="auto"/>
              <w:right w:val="nil"/>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2</w:t>
            </w:r>
          </w:p>
        </w:tc>
        <w:tc>
          <w:tcPr>
            <w:tcW w:w="737" w:type="pct"/>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3</w:t>
            </w:r>
          </w:p>
        </w:tc>
        <w:tc>
          <w:tcPr>
            <w:tcW w:w="492" w:type="pct"/>
            <w:tcBorders>
              <w:top w:val="nil"/>
              <w:left w:val="nil"/>
              <w:bottom w:val="single" w:sz="8"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4</w:t>
            </w:r>
          </w:p>
        </w:tc>
        <w:tc>
          <w:tcPr>
            <w:tcW w:w="492" w:type="pct"/>
            <w:tcBorders>
              <w:top w:val="nil"/>
              <w:left w:val="nil"/>
              <w:bottom w:val="single" w:sz="8"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5</w:t>
            </w:r>
          </w:p>
        </w:tc>
        <w:tc>
          <w:tcPr>
            <w:tcW w:w="355" w:type="pct"/>
            <w:tcBorders>
              <w:top w:val="nil"/>
              <w:left w:val="nil"/>
              <w:bottom w:val="single" w:sz="8"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6</w:t>
            </w:r>
          </w:p>
        </w:tc>
        <w:tc>
          <w:tcPr>
            <w:tcW w:w="277" w:type="pct"/>
            <w:tcBorders>
              <w:top w:val="nil"/>
              <w:left w:val="nil"/>
              <w:bottom w:val="single" w:sz="8" w:space="0" w:color="auto"/>
              <w:right w:val="double" w:sz="6" w:space="0" w:color="auto"/>
            </w:tcBorders>
            <w:shd w:val="clear" w:color="auto" w:fill="auto"/>
            <w:noWrap/>
            <w:vAlign w:val="bottom"/>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7</w:t>
            </w:r>
          </w:p>
        </w:tc>
      </w:tr>
      <w:tr w:rsidR="00851986" w:rsidRPr="006578D5" w:rsidTr="00E80A96">
        <w:trPr>
          <w:trHeight w:val="270"/>
        </w:trPr>
        <w:tc>
          <w:tcPr>
            <w:tcW w:w="351" w:type="pct"/>
            <w:tcBorders>
              <w:top w:val="single" w:sz="4" w:space="0" w:color="auto"/>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b/>
                <w:bCs/>
                <w:sz w:val="20"/>
                <w:u w:val="single"/>
              </w:rPr>
            </w:pPr>
            <w:r w:rsidRPr="009A6AB2">
              <w:rPr>
                <w:b/>
                <w:bCs/>
                <w:sz w:val="20"/>
                <w:u w:val="single"/>
              </w:rPr>
              <w:t>II</w:t>
            </w:r>
          </w:p>
        </w:tc>
        <w:tc>
          <w:tcPr>
            <w:tcW w:w="1907" w:type="pct"/>
            <w:tcBorders>
              <w:top w:val="single" w:sz="4" w:space="0" w:color="auto"/>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20"/>
                <w:u w:val="single"/>
              </w:rPr>
            </w:pPr>
            <w:r w:rsidRPr="009A6AB2">
              <w:rPr>
                <w:b/>
                <w:bCs/>
                <w:sz w:val="20"/>
                <w:u w:val="single"/>
              </w:rPr>
              <w:t xml:space="preserve">Izdevumi kopā, </w:t>
            </w:r>
            <w:r w:rsidRPr="009A6AB2">
              <w:rPr>
                <w:b/>
                <w:bCs/>
                <w:i/>
                <w:iCs/>
                <w:sz w:val="20"/>
                <w:u w:val="single"/>
              </w:rPr>
              <w:t>euro</w:t>
            </w:r>
          </w:p>
        </w:tc>
        <w:tc>
          <w:tcPr>
            <w:tcW w:w="389" w:type="pct"/>
            <w:tcBorders>
              <w:top w:val="single" w:sz="4" w:space="0" w:color="auto"/>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20"/>
                <w:u w:val="single"/>
              </w:rPr>
            </w:pPr>
            <w:r w:rsidRPr="009A6AB2">
              <w:rPr>
                <w:b/>
                <w:bCs/>
                <w:sz w:val="20"/>
                <w:u w:val="single"/>
              </w:rPr>
              <w:t> </w:t>
            </w:r>
          </w:p>
        </w:tc>
        <w:tc>
          <w:tcPr>
            <w:tcW w:w="312" w:type="pct"/>
            <w:tcBorders>
              <w:top w:val="single" w:sz="4" w:space="0" w:color="auto"/>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20"/>
              </w:rPr>
            </w:pPr>
            <w:r w:rsidRPr="009A6AB2">
              <w:rPr>
                <w:b/>
                <w:bCs/>
                <w:sz w:val="20"/>
              </w:rPr>
              <w:t> </w:t>
            </w:r>
          </w:p>
        </w:tc>
        <w:tc>
          <w:tcPr>
            <w:tcW w:w="425" w:type="pct"/>
            <w:tcBorders>
              <w:top w:val="single" w:sz="4" w:space="0" w:color="auto"/>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20"/>
              </w:rPr>
            </w:pPr>
            <w:r w:rsidRPr="009A6AB2">
              <w:rPr>
                <w:b/>
                <w:bCs/>
                <w:sz w:val="20"/>
              </w:rPr>
              <w:t> </w:t>
            </w:r>
          </w:p>
        </w:tc>
        <w:tc>
          <w:tcPr>
            <w:tcW w:w="492" w:type="pct"/>
            <w:tcBorders>
              <w:top w:val="single" w:sz="4" w:space="0" w:color="auto"/>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20"/>
              </w:rPr>
            </w:pPr>
            <w:r w:rsidRPr="009A6AB2">
              <w:rPr>
                <w:b/>
                <w:bCs/>
                <w:sz w:val="20"/>
              </w:rPr>
              <w:t> </w:t>
            </w:r>
          </w:p>
        </w:tc>
        <w:tc>
          <w:tcPr>
            <w:tcW w:w="492" w:type="pct"/>
            <w:tcBorders>
              <w:top w:val="single" w:sz="4" w:space="0" w:color="auto"/>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b/>
                <w:bCs/>
                <w:sz w:val="20"/>
              </w:rPr>
            </w:pPr>
            <w:r w:rsidRPr="009A6AB2">
              <w:rPr>
                <w:b/>
                <w:bCs/>
                <w:sz w:val="20"/>
              </w:rPr>
              <w:t> </w:t>
            </w:r>
          </w:p>
        </w:tc>
        <w:tc>
          <w:tcPr>
            <w:tcW w:w="355" w:type="pct"/>
            <w:tcBorders>
              <w:top w:val="single" w:sz="4" w:space="0" w:color="auto"/>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20"/>
              </w:rPr>
            </w:pPr>
            <w:r w:rsidRPr="009A6AB2">
              <w:rPr>
                <w:b/>
                <w:bCs/>
                <w:sz w:val="20"/>
              </w:rPr>
              <w:t> </w:t>
            </w:r>
          </w:p>
        </w:tc>
        <w:tc>
          <w:tcPr>
            <w:tcW w:w="277" w:type="pct"/>
            <w:tcBorders>
              <w:top w:val="single" w:sz="4" w:space="0" w:color="auto"/>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20"/>
              </w:rPr>
            </w:pPr>
            <w:r w:rsidRPr="009A6AB2">
              <w:rPr>
                <w:b/>
                <w:bCs/>
                <w:sz w:val="20"/>
              </w:rPr>
              <w:t> </w:t>
            </w:r>
          </w:p>
        </w:tc>
      </w:tr>
      <w:tr w:rsidR="00851986" w:rsidRPr="006578D5" w:rsidTr="00E80A96">
        <w:trPr>
          <w:trHeight w:val="270"/>
        </w:trPr>
        <w:tc>
          <w:tcPr>
            <w:tcW w:w="351" w:type="pct"/>
            <w:tcBorders>
              <w:top w:val="nil"/>
              <w:left w:val="double" w:sz="6" w:space="0" w:color="auto"/>
              <w:bottom w:val="single" w:sz="4" w:space="0" w:color="auto"/>
              <w:right w:val="single" w:sz="4" w:space="0" w:color="auto"/>
            </w:tcBorders>
            <w:shd w:val="clear" w:color="auto" w:fill="auto"/>
            <w:noWrap/>
            <w:hideMark/>
          </w:tcPr>
          <w:p w:rsidR="00851986" w:rsidRPr="009A6AB2" w:rsidRDefault="00851986" w:rsidP="00E80A96">
            <w:pPr>
              <w:overflowPunct/>
              <w:autoSpaceDE/>
              <w:autoSpaceDN/>
              <w:adjustRightInd/>
              <w:textAlignment w:val="auto"/>
              <w:rPr>
                <w:i/>
                <w:iCs/>
                <w:sz w:val="18"/>
                <w:szCs w:val="18"/>
              </w:rPr>
            </w:pPr>
            <w:r w:rsidRPr="009A6AB2">
              <w:rPr>
                <w:i/>
                <w:iCs/>
                <w:sz w:val="18"/>
                <w:szCs w:val="18"/>
              </w:rPr>
              <w:t> </w:t>
            </w:r>
          </w:p>
        </w:tc>
        <w:tc>
          <w:tcPr>
            <w:tcW w:w="1907" w:type="pct"/>
            <w:tcBorders>
              <w:top w:val="nil"/>
              <w:left w:val="nil"/>
              <w:bottom w:val="single" w:sz="4" w:space="0" w:color="auto"/>
              <w:right w:val="nil"/>
            </w:tcBorders>
            <w:shd w:val="clear" w:color="auto" w:fill="auto"/>
            <w:noWrap/>
            <w:hideMark/>
          </w:tcPr>
          <w:p w:rsidR="00851986" w:rsidRPr="009A6AB2" w:rsidRDefault="00851986" w:rsidP="00E80A96">
            <w:pPr>
              <w:overflowPunct/>
              <w:autoSpaceDE/>
              <w:autoSpaceDN/>
              <w:adjustRightInd/>
              <w:textAlignment w:val="auto"/>
              <w:rPr>
                <w:i/>
                <w:iCs/>
                <w:sz w:val="18"/>
                <w:szCs w:val="18"/>
              </w:rPr>
            </w:pPr>
            <w:r w:rsidRPr="009A6AB2">
              <w:rPr>
                <w:i/>
                <w:iCs/>
                <w:sz w:val="18"/>
                <w:szCs w:val="18"/>
              </w:rPr>
              <w:t>Izdevumi kopā, Ls</w:t>
            </w:r>
          </w:p>
        </w:tc>
        <w:tc>
          <w:tcPr>
            <w:tcW w:w="389" w:type="pct"/>
            <w:tcBorders>
              <w:top w:val="nil"/>
              <w:left w:val="nil"/>
              <w:bottom w:val="single" w:sz="4" w:space="0" w:color="auto"/>
              <w:right w:val="nil"/>
            </w:tcBorders>
            <w:shd w:val="clear" w:color="auto" w:fill="auto"/>
            <w:noWrap/>
            <w:hideMark/>
          </w:tcPr>
          <w:p w:rsidR="00851986" w:rsidRPr="009A6AB2" w:rsidRDefault="00851986" w:rsidP="00E80A96">
            <w:pPr>
              <w:overflowPunct/>
              <w:autoSpaceDE/>
              <w:autoSpaceDN/>
              <w:adjustRightInd/>
              <w:textAlignment w:val="auto"/>
              <w:rPr>
                <w:i/>
                <w:iCs/>
                <w:sz w:val="18"/>
                <w:szCs w:val="18"/>
              </w:rPr>
            </w:pPr>
            <w:r w:rsidRPr="009A6AB2">
              <w:rPr>
                <w:i/>
                <w:iCs/>
                <w:sz w:val="18"/>
                <w:szCs w:val="18"/>
              </w:rPr>
              <w:t> </w:t>
            </w:r>
          </w:p>
        </w:tc>
        <w:tc>
          <w:tcPr>
            <w:tcW w:w="312" w:type="pct"/>
            <w:tcBorders>
              <w:top w:val="nil"/>
              <w:left w:val="single" w:sz="4" w:space="0" w:color="auto"/>
              <w:bottom w:val="single" w:sz="4" w:space="0" w:color="auto"/>
              <w:right w:val="nil"/>
            </w:tcBorders>
            <w:shd w:val="clear" w:color="auto" w:fill="auto"/>
            <w:noWrap/>
            <w:vAlign w:val="bottom"/>
            <w:hideMark/>
          </w:tcPr>
          <w:p w:rsidR="00851986" w:rsidRPr="009A6AB2" w:rsidRDefault="00851986" w:rsidP="00E80A96">
            <w:pPr>
              <w:overflowPunct/>
              <w:autoSpaceDE/>
              <w:autoSpaceDN/>
              <w:adjustRightInd/>
              <w:textAlignment w:val="auto"/>
              <w:rPr>
                <w:i/>
                <w:iCs/>
                <w:sz w:val="18"/>
                <w:szCs w:val="18"/>
              </w:rPr>
            </w:pPr>
            <w:r w:rsidRPr="009A6AB2">
              <w:rPr>
                <w:i/>
                <w:iCs/>
                <w:sz w:val="18"/>
                <w:szCs w:val="18"/>
              </w:rPr>
              <w:t> </w:t>
            </w:r>
          </w:p>
        </w:tc>
        <w:tc>
          <w:tcPr>
            <w:tcW w:w="425"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i/>
                <w:iCs/>
                <w:sz w:val="18"/>
                <w:szCs w:val="18"/>
              </w:rPr>
            </w:pPr>
            <w:r w:rsidRPr="009A6AB2">
              <w:rPr>
                <w:i/>
                <w:iCs/>
                <w:sz w:val="18"/>
                <w:szCs w:val="18"/>
              </w:rPr>
              <w:t> </w:t>
            </w:r>
          </w:p>
        </w:tc>
        <w:tc>
          <w:tcPr>
            <w:tcW w:w="492"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i/>
                <w:iCs/>
                <w:sz w:val="18"/>
                <w:szCs w:val="18"/>
              </w:rPr>
            </w:pPr>
            <w:r w:rsidRPr="009A6AB2">
              <w:rPr>
                <w:i/>
                <w:iCs/>
                <w:sz w:val="18"/>
                <w:szCs w:val="18"/>
              </w:rPr>
              <w:t> </w:t>
            </w:r>
          </w:p>
        </w:tc>
        <w:tc>
          <w:tcPr>
            <w:tcW w:w="492" w:type="pct"/>
            <w:tcBorders>
              <w:top w:val="nil"/>
              <w:left w:val="nil"/>
              <w:bottom w:val="single" w:sz="4" w:space="0" w:color="auto"/>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i/>
                <w:iCs/>
                <w:sz w:val="18"/>
                <w:szCs w:val="18"/>
              </w:rPr>
            </w:pPr>
            <w:r w:rsidRPr="009A6AB2">
              <w:rPr>
                <w:i/>
                <w:iCs/>
                <w:sz w:val="18"/>
                <w:szCs w:val="18"/>
              </w:rPr>
              <w:t> </w:t>
            </w:r>
          </w:p>
        </w:tc>
        <w:tc>
          <w:tcPr>
            <w:tcW w:w="355" w:type="pct"/>
            <w:tcBorders>
              <w:top w:val="nil"/>
              <w:left w:val="nil"/>
              <w:bottom w:val="single" w:sz="4" w:space="0" w:color="auto"/>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i/>
                <w:iCs/>
                <w:sz w:val="18"/>
                <w:szCs w:val="18"/>
              </w:rPr>
            </w:pPr>
            <w:r w:rsidRPr="009A6AB2">
              <w:rPr>
                <w:i/>
                <w:iCs/>
                <w:sz w:val="18"/>
                <w:szCs w:val="18"/>
              </w:rPr>
              <w:t> </w:t>
            </w:r>
          </w:p>
        </w:tc>
        <w:tc>
          <w:tcPr>
            <w:tcW w:w="277" w:type="pct"/>
            <w:tcBorders>
              <w:top w:val="nil"/>
              <w:left w:val="nil"/>
              <w:bottom w:val="single" w:sz="4" w:space="0" w:color="auto"/>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i/>
                <w:iCs/>
                <w:sz w:val="18"/>
                <w:szCs w:val="18"/>
              </w:rPr>
            </w:pPr>
            <w:r w:rsidRPr="009A6AB2">
              <w:rPr>
                <w:i/>
                <w:iCs/>
                <w:sz w:val="18"/>
                <w:szCs w:val="18"/>
              </w:rPr>
              <w:t> </w:t>
            </w:r>
          </w:p>
        </w:tc>
      </w:tr>
      <w:tr w:rsidR="00851986" w:rsidRPr="006578D5" w:rsidTr="00E80A96">
        <w:trPr>
          <w:trHeight w:val="525"/>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1.</w:t>
            </w:r>
          </w:p>
        </w:tc>
        <w:tc>
          <w:tcPr>
            <w:tcW w:w="2295" w:type="pct"/>
            <w:gridSpan w:val="2"/>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Dzīvojamās mājas kopīpašumā esošās daļas un tai piesaistītā zemes gabala sanitārā kopšana</w:t>
            </w: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b/>
                <w:bCs/>
                <w:sz w:val="18"/>
                <w:szCs w:val="18"/>
              </w:rPr>
            </w:pPr>
            <w:r w:rsidRPr="009A6AB2">
              <w:rPr>
                <w:b/>
                <w:bCs/>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18"/>
                <w:szCs w:val="18"/>
              </w:rPr>
            </w:pPr>
            <w:r w:rsidRPr="009A6AB2">
              <w:rPr>
                <w:b/>
                <w:bCs/>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18"/>
                <w:szCs w:val="18"/>
              </w:rPr>
            </w:pPr>
            <w:r w:rsidRPr="009A6AB2">
              <w:rPr>
                <w:b/>
                <w:bCs/>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1.1.</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Mājai piesaistītais zemes gabals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1.1.1.</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Ietves uzkopšana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m</w:t>
            </w:r>
            <w:r w:rsidRPr="009A6AB2">
              <w:rPr>
                <w:sz w:val="16"/>
                <w:szCs w:val="16"/>
                <w:vertAlign w:val="superscript"/>
              </w:rPr>
              <w:t>2</w:t>
            </w: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0.2004</w:t>
            </w:r>
          </w:p>
        </w:tc>
        <w:tc>
          <w:tcPr>
            <w:tcW w:w="492" w:type="pct"/>
            <w:tcBorders>
              <w:top w:val="nil"/>
              <w:left w:val="single" w:sz="4"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1.1.2.</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Pagalmu, laukumu uzkopšana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m</w:t>
            </w:r>
            <w:r w:rsidRPr="009A6AB2">
              <w:rPr>
                <w:sz w:val="16"/>
                <w:szCs w:val="16"/>
                <w:vertAlign w:val="superscript"/>
              </w:rPr>
              <w:t>2</w:t>
            </w: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0.0746</w:t>
            </w:r>
          </w:p>
        </w:tc>
        <w:tc>
          <w:tcPr>
            <w:tcW w:w="492" w:type="pct"/>
            <w:tcBorders>
              <w:top w:val="nil"/>
              <w:left w:val="single" w:sz="4"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1.1.3.</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Atkritumu konteineru laukumu uzkopšana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m</w:t>
            </w:r>
            <w:r w:rsidRPr="009A6AB2">
              <w:rPr>
                <w:sz w:val="16"/>
                <w:szCs w:val="16"/>
                <w:vertAlign w:val="superscript"/>
              </w:rPr>
              <w:t>2</w:t>
            </w: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0.4946</w:t>
            </w:r>
          </w:p>
        </w:tc>
        <w:tc>
          <w:tcPr>
            <w:tcW w:w="492" w:type="pct"/>
            <w:tcBorders>
              <w:top w:val="nil"/>
              <w:left w:val="single" w:sz="4"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1.1.4.</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Zālienu kopšana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m</w:t>
            </w:r>
            <w:r w:rsidRPr="009A6AB2">
              <w:rPr>
                <w:sz w:val="16"/>
                <w:szCs w:val="16"/>
                <w:vertAlign w:val="superscript"/>
              </w:rPr>
              <w:t>2</w:t>
            </w: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0.0269</w:t>
            </w:r>
          </w:p>
        </w:tc>
        <w:tc>
          <w:tcPr>
            <w:tcW w:w="492" w:type="pct"/>
            <w:tcBorders>
              <w:top w:val="nil"/>
              <w:left w:val="single" w:sz="4"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4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1.1.5.</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Zāles pļaušana, reizes sezonā</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4</w:t>
            </w: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m</w:t>
            </w:r>
            <w:r w:rsidRPr="009A6AB2">
              <w:rPr>
                <w:sz w:val="16"/>
                <w:szCs w:val="16"/>
                <w:vertAlign w:val="superscript"/>
              </w:rPr>
              <w:t>2</w:t>
            </w: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0.033</w:t>
            </w:r>
          </w:p>
        </w:tc>
        <w:tc>
          <w:tcPr>
            <w:tcW w:w="492" w:type="pct"/>
            <w:tcBorders>
              <w:top w:val="nil"/>
              <w:left w:val="single" w:sz="4"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1.1.6.</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Citi darbi (norādīt, kādi)</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1.2.</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Koplietošanas telpas</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1.2.1.</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Kāpņu telpas uzkopšana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color w:val="FFFFFF"/>
                <w:sz w:val="16"/>
                <w:szCs w:val="16"/>
              </w:rPr>
            </w:pPr>
            <w:r w:rsidRPr="009A6AB2">
              <w:rPr>
                <w:color w:val="FFFFFF"/>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color w:val="FFFFFF"/>
                <w:sz w:val="16"/>
                <w:szCs w:val="16"/>
              </w:rPr>
            </w:pPr>
            <w:r w:rsidRPr="009A6AB2">
              <w:rPr>
                <w:color w:val="FFFFFF"/>
                <w:sz w:val="16"/>
                <w:szCs w:val="16"/>
              </w:rPr>
              <w:t>m</w:t>
            </w:r>
            <w:r w:rsidRPr="009A6AB2">
              <w:rPr>
                <w:color w:val="FFFFFF"/>
                <w:sz w:val="16"/>
                <w:szCs w:val="16"/>
                <w:vertAlign w:val="superscript"/>
              </w:rPr>
              <w:t>2</w:t>
            </w: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color w:val="FFFFFF"/>
                <w:sz w:val="16"/>
                <w:szCs w:val="16"/>
              </w:rPr>
            </w:pPr>
            <w:r w:rsidRPr="009A6AB2">
              <w:rPr>
                <w:color w:val="FFFFFF"/>
                <w:sz w:val="16"/>
                <w:szCs w:val="16"/>
              </w:rPr>
              <w:t>0.3532</w:t>
            </w:r>
          </w:p>
        </w:tc>
        <w:tc>
          <w:tcPr>
            <w:tcW w:w="492" w:type="pct"/>
            <w:tcBorders>
              <w:top w:val="nil"/>
              <w:left w:val="single" w:sz="4"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1.2.2.</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Kāpņu telpas ģenerāltīrīšana (sienas, griesti, logi, u.c.)</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lastRenderedPageBreak/>
              <w:t>1.2.3.</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Atkritumu vadu tīrīšana un dezinfekcija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gab</w:t>
            </w: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0.00</w:t>
            </w:r>
          </w:p>
        </w:tc>
        <w:tc>
          <w:tcPr>
            <w:tcW w:w="492" w:type="pct"/>
            <w:tcBorders>
              <w:top w:val="nil"/>
              <w:left w:val="single" w:sz="4"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1.2.4.</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Citi darbi (norādīt, kādi)</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525"/>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1.3.</w:t>
            </w:r>
          </w:p>
        </w:tc>
        <w:tc>
          <w:tcPr>
            <w:tcW w:w="2295" w:type="pct"/>
            <w:gridSpan w:val="2"/>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18"/>
                <w:szCs w:val="18"/>
              </w:rPr>
            </w:pPr>
            <w:r w:rsidRPr="009A6AB2">
              <w:rPr>
                <w:sz w:val="18"/>
                <w:szCs w:val="18"/>
              </w:rPr>
              <w:t>Citi piesaistītā zemes gabala un koplietošanas telpu sanitārās kopšanas pakalpojumi</w:t>
            </w: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1.3.1.</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Deratizācija (grauzēju iznīcināšana)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737"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i/>
                <w:iCs/>
                <w:sz w:val="16"/>
                <w:szCs w:val="16"/>
              </w:rPr>
            </w:pPr>
            <w:r w:rsidRPr="009A6AB2">
              <w:rPr>
                <w:i/>
                <w:iCs/>
                <w:sz w:val="16"/>
                <w:szCs w:val="16"/>
              </w:rPr>
              <w:t>euro</w:t>
            </w:r>
            <w:r w:rsidRPr="009A6AB2">
              <w:rPr>
                <w:sz w:val="16"/>
                <w:szCs w:val="16"/>
              </w:rPr>
              <w:t>/gadā</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0.00</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1.3.2.</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Lielgabarīta atkritumu izvešana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m</w:t>
            </w:r>
            <w:r w:rsidRPr="009A6AB2">
              <w:rPr>
                <w:sz w:val="16"/>
                <w:szCs w:val="16"/>
                <w:vertAlign w:val="superscript"/>
              </w:rPr>
              <w:t>3</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25.73</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1.3.3.</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Valsts karoga pacelšana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8.16</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single" w:sz="4" w:space="0" w:color="auto"/>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1.3.4.</w:t>
            </w:r>
          </w:p>
        </w:tc>
        <w:tc>
          <w:tcPr>
            <w:tcW w:w="1907" w:type="pct"/>
            <w:tcBorders>
              <w:top w:val="nil"/>
              <w:left w:val="nil"/>
              <w:bottom w:val="single" w:sz="4" w:space="0" w:color="auto"/>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Rēķinu piegāde</w:t>
            </w:r>
          </w:p>
        </w:tc>
        <w:tc>
          <w:tcPr>
            <w:tcW w:w="389" w:type="pct"/>
            <w:tcBorders>
              <w:top w:val="nil"/>
              <w:left w:val="nil"/>
              <w:bottom w:val="single" w:sz="4" w:space="0" w:color="auto"/>
              <w:right w:val="nil"/>
            </w:tcBorders>
            <w:shd w:val="clear" w:color="auto" w:fill="auto"/>
            <w:noWrap/>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12" w:type="pct"/>
            <w:tcBorders>
              <w:top w:val="nil"/>
              <w:left w:val="single" w:sz="4" w:space="0" w:color="auto"/>
              <w:bottom w:val="single" w:sz="4" w:space="0" w:color="auto"/>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0</w:t>
            </w:r>
          </w:p>
        </w:tc>
        <w:tc>
          <w:tcPr>
            <w:tcW w:w="425"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492"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5.38</w:t>
            </w:r>
          </w:p>
        </w:tc>
        <w:tc>
          <w:tcPr>
            <w:tcW w:w="492"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6"/>
                <w:szCs w:val="16"/>
              </w:rPr>
            </w:pPr>
            <w:r w:rsidRPr="009A6AB2">
              <w:rPr>
                <w:sz w:val="16"/>
                <w:szCs w:val="16"/>
              </w:rPr>
              <w:t> </w:t>
            </w:r>
          </w:p>
        </w:tc>
        <w:tc>
          <w:tcPr>
            <w:tcW w:w="355"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c>
          <w:tcPr>
            <w:tcW w:w="277" w:type="pct"/>
            <w:tcBorders>
              <w:top w:val="nil"/>
              <w:left w:val="nil"/>
              <w:bottom w:val="single" w:sz="4" w:space="0" w:color="auto"/>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6"/>
                <w:szCs w:val="16"/>
              </w:rPr>
            </w:pPr>
            <w:r w:rsidRPr="009A6AB2">
              <w:rPr>
                <w:sz w:val="16"/>
                <w:szCs w:val="16"/>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2.</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Dzīvojamās mājas tehniskā apkope un remonti</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b/>
                <w:bCs/>
                <w:sz w:val="18"/>
                <w:szCs w:val="18"/>
              </w:rPr>
            </w:pPr>
            <w:r w:rsidRPr="009A6AB2">
              <w:rPr>
                <w:b/>
                <w:bCs/>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18"/>
                <w:szCs w:val="18"/>
              </w:rPr>
            </w:pPr>
            <w:r w:rsidRPr="009A6AB2">
              <w:rPr>
                <w:b/>
                <w:bCs/>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18"/>
                <w:szCs w:val="18"/>
              </w:rPr>
            </w:pPr>
            <w:r w:rsidRPr="009A6AB2">
              <w:rPr>
                <w:b/>
                <w:bCs/>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2.1.</w:t>
            </w: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Siltumapgādes sistēmas darbības uzturēšana</w:t>
            </w: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m</w:t>
            </w:r>
            <w:r w:rsidRPr="009A6AB2">
              <w:rPr>
                <w:sz w:val="18"/>
                <w:szCs w:val="18"/>
                <w:vertAlign w:val="superscript"/>
              </w:rPr>
              <w:t>2</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0.029</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2.2.</w:t>
            </w:r>
          </w:p>
        </w:tc>
        <w:tc>
          <w:tcPr>
            <w:tcW w:w="2295" w:type="pct"/>
            <w:gridSpan w:val="2"/>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Siltumenerģijas patēriņa un plūsmas skaitītāju kontrole</w:t>
            </w: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dzīvokļi</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0.712</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2.3.</w:t>
            </w:r>
          </w:p>
        </w:tc>
        <w:tc>
          <w:tcPr>
            <w:tcW w:w="2295" w:type="pct"/>
            <w:gridSpan w:val="2"/>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Dūmvadu un ventilācijas šahtu pārbaude un tīrīšana</w:t>
            </w:r>
          </w:p>
        </w:tc>
        <w:tc>
          <w:tcPr>
            <w:tcW w:w="737"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i/>
                <w:iCs/>
                <w:sz w:val="18"/>
                <w:szCs w:val="18"/>
              </w:rPr>
            </w:pPr>
            <w:r w:rsidRPr="009A6AB2">
              <w:rPr>
                <w:i/>
                <w:iCs/>
                <w:sz w:val="18"/>
                <w:szCs w:val="18"/>
              </w:rPr>
              <w:t>euro</w:t>
            </w:r>
            <w:r w:rsidRPr="009A6AB2">
              <w:rPr>
                <w:sz w:val="18"/>
                <w:szCs w:val="18"/>
              </w:rPr>
              <w:t>/gadā</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2.4.</w:t>
            </w:r>
          </w:p>
        </w:tc>
        <w:tc>
          <w:tcPr>
            <w:tcW w:w="2295" w:type="pct"/>
            <w:gridSpan w:val="2"/>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Uzkrājumi komunikāciju un konstruktīvo elementu uzturēšanai</w:t>
            </w: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0.00</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i/>
                <w:iCs/>
                <w:sz w:val="18"/>
                <w:szCs w:val="18"/>
              </w:rPr>
              <w:t>euro</w:t>
            </w:r>
            <w:r w:rsidRPr="009A6AB2">
              <w:rPr>
                <w:sz w:val="18"/>
                <w:szCs w:val="18"/>
              </w:rPr>
              <w:t>/mēn</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480"/>
        </w:trPr>
        <w:tc>
          <w:tcPr>
            <w:tcW w:w="351" w:type="pct"/>
            <w:tcBorders>
              <w:top w:val="nil"/>
              <w:left w:val="double" w:sz="6" w:space="0" w:color="auto"/>
              <w:bottom w:val="nil"/>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2.5.</w:t>
            </w:r>
          </w:p>
        </w:tc>
        <w:tc>
          <w:tcPr>
            <w:tcW w:w="2295" w:type="pct"/>
            <w:gridSpan w:val="2"/>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18"/>
                <w:szCs w:val="18"/>
              </w:rPr>
            </w:pPr>
            <w:r w:rsidRPr="009A6AB2">
              <w:rPr>
                <w:sz w:val="18"/>
                <w:szCs w:val="18"/>
              </w:rPr>
              <w:t>Plānotie nākamo periodu izdevumi kārtējiem remonta darbiem (darbu atšifrējums)</w:t>
            </w:r>
          </w:p>
        </w:tc>
        <w:tc>
          <w:tcPr>
            <w:tcW w:w="312" w:type="pct"/>
            <w:tcBorders>
              <w:top w:val="nil"/>
              <w:left w:val="single" w:sz="4" w:space="0" w:color="auto"/>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25"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 </w:t>
            </w:r>
          </w:p>
        </w:tc>
        <w:tc>
          <w:tcPr>
            <w:tcW w:w="492"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nil"/>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nil"/>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single" w:sz="4" w:space="0" w:color="auto"/>
              <w:right w:val="single" w:sz="4" w:space="0" w:color="auto"/>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2.6.</w:t>
            </w:r>
          </w:p>
        </w:tc>
        <w:tc>
          <w:tcPr>
            <w:tcW w:w="2295" w:type="pct"/>
            <w:gridSpan w:val="2"/>
            <w:tcBorders>
              <w:top w:val="nil"/>
              <w:left w:val="nil"/>
              <w:bottom w:val="single" w:sz="4" w:space="0" w:color="auto"/>
              <w:right w:val="nil"/>
            </w:tcBorders>
            <w:shd w:val="clear" w:color="auto" w:fill="auto"/>
            <w:noWrap/>
            <w:hideMark/>
          </w:tcPr>
          <w:p w:rsidR="00851986" w:rsidRPr="009A6AB2" w:rsidRDefault="00851986" w:rsidP="00E80A96">
            <w:pPr>
              <w:overflowPunct/>
              <w:autoSpaceDE/>
              <w:autoSpaceDN/>
              <w:adjustRightInd/>
              <w:textAlignment w:val="auto"/>
              <w:rPr>
                <w:sz w:val="18"/>
                <w:szCs w:val="18"/>
              </w:rPr>
            </w:pPr>
            <w:r w:rsidRPr="009A6AB2">
              <w:rPr>
                <w:sz w:val="18"/>
                <w:szCs w:val="18"/>
              </w:rPr>
              <w:t>Avārijas dienesta un remontdienesta fiksētās izmaksas</w:t>
            </w:r>
          </w:p>
        </w:tc>
        <w:tc>
          <w:tcPr>
            <w:tcW w:w="312" w:type="pct"/>
            <w:tcBorders>
              <w:top w:val="nil"/>
              <w:left w:val="single" w:sz="4" w:space="0" w:color="auto"/>
              <w:bottom w:val="single" w:sz="4" w:space="0" w:color="auto"/>
              <w:right w:val="nil"/>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0</w:t>
            </w:r>
          </w:p>
        </w:tc>
        <w:tc>
          <w:tcPr>
            <w:tcW w:w="425"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18"/>
                <w:szCs w:val="18"/>
              </w:rPr>
            </w:pPr>
            <w:r w:rsidRPr="009A6AB2">
              <w:rPr>
                <w:sz w:val="18"/>
                <w:szCs w:val="18"/>
              </w:rPr>
              <w:t>m</w:t>
            </w:r>
            <w:r w:rsidRPr="009A6AB2">
              <w:rPr>
                <w:sz w:val="18"/>
                <w:szCs w:val="18"/>
                <w:vertAlign w:val="superscript"/>
              </w:rPr>
              <w:t>2</w:t>
            </w:r>
          </w:p>
        </w:tc>
        <w:tc>
          <w:tcPr>
            <w:tcW w:w="492" w:type="pct"/>
            <w:tcBorders>
              <w:top w:val="nil"/>
              <w:left w:val="nil"/>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0.036</w:t>
            </w:r>
          </w:p>
        </w:tc>
        <w:tc>
          <w:tcPr>
            <w:tcW w:w="492" w:type="pct"/>
            <w:tcBorders>
              <w:top w:val="nil"/>
              <w:left w:val="nil"/>
              <w:bottom w:val="single" w:sz="4" w:space="0" w:color="auto"/>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355" w:type="pct"/>
            <w:tcBorders>
              <w:top w:val="nil"/>
              <w:left w:val="nil"/>
              <w:bottom w:val="single" w:sz="4" w:space="0" w:color="auto"/>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c>
          <w:tcPr>
            <w:tcW w:w="277" w:type="pct"/>
            <w:tcBorders>
              <w:top w:val="nil"/>
              <w:left w:val="nil"/>
              <w:bottom w:val="single" w:sz="4" w:space="0" w:color="auto"/>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sz w:val="18"/>
                <w:szCs w:val="18"/>
              </w:rPr>
            </w:pPr>
            <w:r w:rsidRPr="009A6AB2">
              <w:rPr>
                <w:sz w:val="18"/>
                <w:szCs w:val="18"/>
              </w:rPr>
              <w:t> </w:t>
            </w:r>
          </w:p>
        </w:tc>
      </w:tr>
      <w:tr w:rsidR="00851986" w:rsidRPr="006578D5" w:rsidTr="00E80A96">
        <w:trPr>
          <w:trHeight w:val="270"/>
        </w:trPr>
        <w:tc>
          <w:tcPr>
            <w:tcW w:w="351" w:type="pct"/>
            <w:tcBorders>
              <w:top w:val="nil"/>
              <w:left w:val="double" w:sz="6" w:space="0" w:color="auto"/>
              <w:bottom w:val="double" w:sz="6" w:space="0" w:color="auto"/>
              <w:right w:val="single" w:sz="4" w:space="0" w:color="auto"/>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3.</w:t>
            </w:r>
          </w:p>
        </w:tc>
        <w:tc>
          <w:tcPr>
            <w:tcW w:w="2295" w:type="pct"/>
            <w:gridSpan w:val="2"/>
            <w:tcBorders>
              <w:top w:val="single" w:sz="4" w:space="0" w:color="auto"/>
              <w:left w:val="nil"/>
              <w:bottom w:val="double" w:sz="6" w:space="0" w:color="auto"/>
              <w:right w:val="nil"/>
            </w:tcBorders>
            <w:shd w:val="clear" w:color="auto" w:fill="auto"/>
            <w:noWrap/>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Mājas pārvaldīšanas pakalpojumi un administratīvie izdevumi</w:t>
            </w:r>
          </w:p>
        </w:tc>
        <w:tc>
          <w:tcPr>
            <w:tcW w:w="312" w:type="pct"/>
            <w:tcBorders>
              <w:top w:val="nil"/>
              <w:left w:val="single" w:sz="4" w:space="0" w:color="auto"/>
              <w:bottom w:val="double" w:sz="6" w:space="0" w:color="auto"/>
              <w:right w:val="nil"/>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25" w:type="pct"/>
            <w:tcBorders>
              <w:top w:val="nil"/>
              <w:left w:val="nil"/>
              <w:bottom w:val="double" w:sz="6"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92" w:type="pct"/>
            <w:tcBorders>
              <w:top w:val="nil"/>
              <w:left w:val="nil"/>
              <w:bottom w:val="double" w:sz="6"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18"/>
                <w:szCs w:val="18"/>
              </w:rPr>
            </w:pPr>
            <w:r w:rsidRPr="009A6AB2">
              <w:rPr>
                <w:b/>
                <w:bCs/>
                <w:sz w:val="18"/>
                <w:szCs w:val="18"/>
              </w:rPr>
              <w:t> </w:t>
            </w:r>
          </w:p>
        </w:tc>
        <w:tc>
          <w:tcPr>
            <w:tcW w:w="492" w:type="pct"/>
            <w:tcBorders>
              <w:top w:val="nil"/>
              <w:left w:val="nil"/>
              <w:bottom w:val="double" w:sz="6" w:space="0" w:color="auto"/>
              <w:right w:val="single" w:sz="4" w:space="0" w:color="auto"/>
            </w:tcBorders>
            <w:shd w:val="clear" w:color="auto" w:fill="auto"/>
            <w:noWrap/>
            <w:hideMark/>
          </w:tcPr>
          <w:p w:rsidR="00851986" w:rsidRPr="009A6AB2" w:rsidRDefault="00851986" w:rsidP="00E80A96">
            <w:pPr>
              <w:overflowPunct/>
              <w:autoSpaceDE/>
              <w:autoSpaceDN/>
              <w:adjustRightInd/>
              <w:jc w:val="center"/>
              <w:textAlignment w:val="auto"/>
              <w:rPr>
                <w:b/>
                <w:bCs/>
                <w:sz w:val="18"/>
                <w:szCs w:val="18"/>
              </w:rPr>
            </w:pPr>
            <w:r w:rsidRPr="009A6AB2">
              <w:rPr>
                <w:b/>
                <w:bCs/>
                <w:sz w:val="18"/>
                <w:szCs w:val="18"/>
              </w:rPr>
              <w:t> </w:t>
            </w:r>
          </w:p>
        </w:tc>
        <w:tc>
          <w:tcPr>
            <w:tcW w:w="355" w:type="pct"/>
            <w:tcBorders>
              <w:top w:val="nil"/>
              <w:left w:val="nil"/>
              <w:bottom w:val="double" w:sz="6" w:space="0" w:color="auto"/>
              <w:right w:val="single" w:sz="4"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18"/>
                <w:szCs w:val="18"/>
              </w:rPr>
            </w:pPr>
            <w:r w:rsidRPr="009A6AB2">
              <w:rPr>
                <w:b/>
                <w:bCs/>
                <w:sz w:val="18"/>
                <w:szCs w:val="18"/>
              </w:rPr>
              <w:t> </w:t>
            </w:r>
          </w:p>
        </w:tc>
        <w:tc>
          <w:tcPr>
            <w:tcW w:w="277" w:type="pct"/>
            <w:tcBorders>
              <w:top w:val="nil"/>
              <w:left w:val="nil"/>
              <w:bottom w:val="double" w:sz="6" w:space="0" w:color="auto"/>
              <w:right w:val="double" w:sz="6" w:space="0" w:color="auto"/>
            </w:tcBorders>
            <w:shd w:val="clear" w:color="auto" w:fill="auto"/>
            <w:noWrap/>
            <w:hideMark/>
          </w:tcPr>
          <w:p w:rsidR="00851986" w:rsidRPr="009A6AB2" w:rsidRDefault="00851986" w:rsidP="00E80A96">
            <w:pPr>
              <w:overflowPunct/>
              <w:autoSpaceDE/>
              <w:autoSpaceDN/>
              <w:adjustRightInd/>
              <w:jc w:val="right"/>
              <w:textAlignment w:val="auto"/>
              <w:rPr>
                <w:b/>
                <w:bCs/>
                <w:sz w:val="18"/>
                <w:szCs w:val="18"/>
              </w:rPr>
            </w:pPr>
            <w:r w:rsidRPr="009A6AB2">
              <w:rPr>
                <w:b/>
                <w:bCs/>
                <w:sz w:val="18"/>
                <w:szCs w:val="18"/>
              </w:rPr>
              <w:t> </w:t>
            </w:r>
          </w:p>
        </w:tc>
      </w:tr>
      <w:tr w:rsidR="00851986" w:rsidRPr="006578D5" w:rsidTr="00E80A96">
        <w:trPr>
          <w:trHeight w:val="270"/>
        </w:trPr>
        <w:tc>
          <w:tcPr>
            <w:tcW w:w="351"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1907"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20"/>
              </w:rPr>
            </w:pPr>
          </w:p>
        </w:tc>
        <w:tc>
          <w:tcPr>
            <w:tcW w:w="389" w:type="pct"/>
            <w:tcBorders>
              <w:top w:val="nil"/>
              <w:left w:val="nil"/>
              <w:bottom w:val="nil"/>
              <w:right w:val="nil"/>
            </w:tcBorders>
            <w:shd w:val="clear" w:color="auto" w:fill="auto"/>
            <w:noWrap/>
            <w:hideMark/>
          </w:tcPr>
          <w:p w:rsidR="00851986" w:rsidRPr="009A6AB2" w:rsidRDefault="00851986" w:rsidP="00E80A96">
            <w:pPr>
              <w:overflowPunct/>
              <w:autoSpaceDE/>
              <w:autoSpaceDN/>
              <w:adjustRightInd/>
              <w:textAlignment w:val="auto"/>
              <w:rPr>
                <w:sz w:val="20"/>
              </w:rPr>
            </w:pPr>
          </w:p>
        </w:tc>
        <w:tc>
          <w:tcPr>
            <w:tcW w:w="31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2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492"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355"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c>
          <w:tcPr>
            <w:tcW w:w="277" w:type="pct"/>
            <w:tcBorders>
              <w:top w:val="nil"/>
              <w:left w:val="nil"/>
              <w:bottom w:val="nil"/>
              <w:right w:val="nil"/>
            </w:tcBorders>
            <w:shd w:val="clear" w:color="auto" w:fill="auto"/>
            <w:noWrap/>
            <w:vAlign w:val="bottom"/>
            <w:hideMark/>
          </w:tcPr>
          <w:p w:rsidR="00851986" w:rsidRPr="009A6AB2" w:rsidRDefault="00851986" w:rsidP="00E80A96">
            <w:pPr>
              <w:overflowPunct/>
              <w:autoSpaceDE/>
              <w:autoSpaceDN/>
              <w:adjustRightInd/>
              <w:textAlignment w:val="auto"/>
              <w:rPr>
                <w:sz w:val="20"/>
              </w:rPr>
            </w:pPr>
          </w:p>
        </w:tc>
      </w:tr>
      <w:tr w:rsidR="00851986" w:rsidRPr="006578D5" w:rsidTr="00E80A96">
        <w:trPr>
          <w:trHeight w:val="1275"/>
        </w:trPr>
        <w:tc>
          <w:tcPr>
            <w:tcW w:w="351"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Nr.p.k.</w:t>
            </w:r>
          </w:p>
        </w:tc>
        <w:tc>
          <w:tcPr>
            <w:tcW w:w="2608" w:type="pct"/>
            <w:gridSpan w:val="3"/>
            <w:tcBorders>
              <w:top w:val="double" w:sz="6" w:space="0" w:color="auto"/>
              <w:left w:val="nil"/>
              <w:bottom w:val="single" w:sz="4" w:space="0" w:color="auto"/>
              <w:right w:val="single" w:sz="4" w:space="0" w:color="000000"/>
            </w:tcBorders>
            <w:shd w:val="clear" w:color="auto" w:fill="auto"/>
            <w:vAlign w:val="center"/>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Dzīvojamai mājai nepieciešamo remonta darbu nosaukums un īss apraksts*</w:t>
            </w:r>
          </w:p>
        </w:tc>
        <w:tc>
          <w:tcPr>
            <w:tcW w:w="425" w:type="pct"/>
            <w:tcBorders>
              <w:top w:val="double" w:sz="6" w:space="0" w:color="auto"/>
              <w:left w:val="nil"/>
              <w:bottom w:val="single" w:sz="4" w:space="0" w:color="auto"/>
              <w:right w:val="nil"/>
            </w:tcBorders>
            <w:shd w:val="clear" w:color="auto" w:fill="auto"/>
            <w:vAlign w:val="center"/>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 </w:t>
            </w:r>
          </w:p>
        </w:tc>
        <w:tc>
          <w:tcPr>
            <w:tcW w:w="984" w:type="pct"/>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Orientējošās remonta darbu izmaksas (</w:t>
            </w:r>
            <w:r w:rsidRPr="009A6AB2">
              <w:rPr>
                <w:i/>
                <w:iCs/>
                <w:sz w:val="18"/>
                <w:szCs w:val="18"/>
              </w:rPr>
              <w:t>euro</w:t>
            </w:r>
            <w:r w:rsidRPr="009A6AB2">
              <w:rPr>
                <w:sz w:val="18"/>
                <w:szCs w:val="18"/>
              </w:rPr>
              <w:t>)**</w:t>
            </w:r>
          </w:p>
        </w:tc>
        <w:tc>
          <w:tcPr>
            <w:tcW w:w="633" w:type="pct"/>
            <w:gridSpan w:val="2"/>
            <w:tcBorders>
              <w:top w:val="double" w:sz="6" w:space="0" w:color="auto"/>
              <w:left w:val="nil"/>
              <w:bottom w:val="single" w:sz="4" w:space="0" w:color="auto"/>
              <w:right w:val="double" w:sz="6" w:space="0" w:color="000000"/>
            </w:tcBorders>
            <w:shd w:val="clear" w:color="auto" w:fill="auto"/>
            <w:vAlign w:val="center"/>
            <w:hideMark/>
          </w:tcPr>
          <w:p w:rsidR="00851986" w:rsidRPr="009A6AB2" w:rsidRDefault="00851986" w:rsidP="00E80A96">
            <w:pPr>
              <w:overflowPunct/>
              <w:autoSpaceDE/>
              <w:autoSpaceDN/>
              <w:adjustRightInd/>
              <w:jc w:val="center"/>
              <w:textAlignment w:val="auto"/>
              <w:rPr>
                <w:sz w:val="18"/>
                <w:szCs w:val="18"/>
              </w:rPr>
            </w:pPr>
            <w:r w:rsidRPr="009A6AB2">
              <w:rPr>
                <w:sz w:val="18"/>
                <w:szCs w:val="18"/>
              </w:rPr>
              <w:t>Orientējošās remonta darbu izmaksas uz vienu dzīvokļa īpašuma platības m</w:t>
            </w:r>
            <w:r w:rsidRPr="009A6AB2">
              <w:rPr>
                <w:sz w:val="18"/>
                <w:szCs w:val="18"/>
                <w:vertAlign w:val="superscript"/>
              </w:rPr>
              <w:t>2</w:t>
            </w:r>
            <w:r w:rsidRPr="009A6AB2">
              <w:rPr>
                <w:sz w:val="18"/>
                <w:szCs w:val="18"/>
              </w:rPr>
              <w:t xml:space="preserve"> (</w:t>
            </w:r>
            <w:r w:rsidRPr="009A6AB2">
              <w:rPr>
                <w:i/>
                <w:iCs/>
                <w:sz w:val="18"/>
                <w:szCs w:val="18"/>
              </w:rPr>
              <w:t>euro</w:t>
            </w:r>
            <w:r w:rsidRPr="009A6AB2">
              <w:rPr>
                <w:sz w:val="18"/>
                <w:szCs w:val="18"/>
              </w:rPr>
              <w:t>/m</w:t>
            </w:r>
            <w:r w:rsidRPr="009A6AB2">
              <w:rPr>
                <w:sz w:val="18"/>
                <w:szCs w:val="18"/>
                <w:vertAlign w:val="superscript"/>
              </w:rPr>
              <w:t>2</w:t>
            </w:r>
            <w:r w:rsidRPr="009A6AB2">
              <w:rPr>
                <w:sz w:val="18"/>
                <w:szCs w:val="18"/>
              </w:rPr>
              <w:t>)</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single" w:sz="4" w:space="0" w:color="auto"/>
              <w:left w:val="nil"/>
              <w:bottom w:val="nil"/>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98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single" w:sz="4" w:space="0" w:color="auto"/>
              <w:left w:val="nil"/>
              <w:bottom w:val="nil"/>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nil"/>
              <w:left w:val="nil"/>
              <w:bottom w:val="nil"/>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20"/>
              </w:rPr>
            </w:pPr>
          </w:p>
        </w:tc>
        <w:tc>
          <w:tcPr>
            <w:tcW w:w="984"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nil"/>
              <w:left w:val="nil"/>
              <w:bottom w:val="nil"/>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70"/>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nil"/>
              <w:left w:val="nil"/>
              <w:bottom w:val="nil"/>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20"/>
              </w:rPr>
            </w:pPr>
          </w:p>
        </w:tc>
        <w:tc>
          <w:tcPr>
            <w:tcW w:w="984"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nil"/>
              <w:left w:val="nil"/>
              <w:bottom w:val="nil"/>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55"/>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nil"/>
              <w:left w:val="nil"/>
              <w:bottom w:val="nil"/>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20"/>
              </w:rPr>
            </w:pPr>
          </w:p>
        </w:tc>
        <w:tc>
          <w:tcPr>
            <w:tcW w:w="984"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nil"/>
              <w:left w:val="nil"/>
              <w:bottom w:val="nil"/>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55"/>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nil"/>
              <w:left w:val="nil"/>
              <w:bottom w:val="nil"/>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20"/>
              </w:rPr>
            </w:pPr>
          </w:p>
        </w:tc>
        <w:tc>
          <w:tcPr>
            <w:tcW w:w="984"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nil"/>
              <w:left w:val="nil"/>
              <w:bottom w:val="nil"/>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55"/>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nil"/>
              <w:left w:val="nil"/>
              <w:bottom w:val="nil"/>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20"/>
              </w:rPr>
            </w:pPr>
          </w:p>
        </w:tc>
        <w:tc>
          <w:tcPr>
            <w:tcW w:w="984"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nil"/>
              <w:left w:val="nil"/>
              <w:bottom w:val="nil"/>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55"/>
        </w:trPr>
        <w:tc>
          <w:tcPr>
            <w:tcW w:w="351" w:type="pct"/>
            <w:tcBorders>
              <w:top w:val="nil"/>
              <w:left w:val="double" w:sz="6" w:space="0" w:color="auto"/>
              <w:bottom w:val="nil"/>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nil"/>
              <w:left w:val="nil"/>
              <w:bottom w:val="nil"/>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nil"/>
              <w:right w:val="nil"/>
            </w:tcBorders>
            <w:shd w:val="clear" w:color="auto" w:fill="auto"/>
            <w:hideMark/>
          </w:tcPr>
          <w:p w:rsidR="00851986" w:rsidRPr="009A6AB2" w:rsidRDefault="00851986" w:rsidP="00E80A96">
            <w:pPr>
              <w:overflowPunct/>
              <w:autoSpaceDE/>
              <w:autoSpaceDN/>
              <w:adjustRightInd/>
              <w:textAlignment w:val="auto"/>
              <w:rPr>
                <w:sz w:val="20"/>
              </w:rPr>
            </w:pPr>
          </w:p>
        </w:tc>
        <w:tc>
          <w:tcPr>
            <w:tcW w:w="984" w:type="pct"/>
            <w:gridSpan w:val="2"/>
            <w:tcBorders>
              <w:top w:val="nil"/>
              <w:left w:val="single" w:sz="4" w:space="0" w:color="auto"/>
              <w:bottom w:val="nil"/>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nil"/>
              <w:left w:val="nil"/>
              <w:bottom w:val="nil"/>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55"/>
        </w:trPr>
        <w:tc>
          <w:tcPr>
            <w:tcW w:w="351" w:type="pct"/>
            <w:tcBorders>
              <w:top w:val="nil"/>
              <w:left w:val="double" w:sz="6" w:space="0" w:color="auto"/>
              <w:bottom w:val="single" w:sz="4"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2608" w:type="pct"/>
            <w:gridSpan w:val="3"/>
            <w:tcBorders>
              <w:top w:val="nil"/>
              <w:left w:val="nil"/>
              <w:bottom w:val="single" w:sz="4" w:space="0" w:color="auto"/>
              <w:right w:val="single" w:sz="4" w:space="0" w:color="000000"/>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425" w:type="pct"/>
            <w:tcBorders>
              <w:top w:val="nil"/>
              <w:left w:val="nil"/>
              <w:bottom w:val="single" w:sz="4" w:space="0" w:color="auto"/>
              <w:right w:val="nil"/>
            </w:tcBorders>
            <w:shd w:val="clear" w:color="auto" w:fill="auto"/>
            <w:hideMark/>
          </w:tcPr>
          <w:p w:rsidR="00851986" w:rsidRPr="009A6AB2" w:rsidRDefault="00851986" w:rsidP="00E80A96">
            <w:pPr>
              <w:overflowPunct/>
              <w:autoSpaceDE/>
              <w:autoSpaceDN/>
              <w:adjustRightInd/>
              <w:textAlignment w:val="auto"/>
              <w:rPr>
                <w:sz w:val="20"/>
              </w:rPr>
            </w:pPr>
            <w:r w:rsidRPr="009A6AB2">
              <w:rPr>
                <w:sz w:val="20"/>
              </w:rPr>
              <w:t> </w:t>
            </w:r>
          </w:p>
        </w:tc>
        <w:tc>
          <w:tcPr>
            <w:tcW w:w="984" w:type="pct"/>
            <w:gridSpan w:val="2"/>
            <w:tcBorders>
              <w:top w:val="nil"/>
              <w:left w:val="single" w:sz="4" w:space="0" w:color="auto"/>
              <w:bottom w:val="single" w:sz="4" w:space="0" w:color="auto"/>
              <w:right w:val="single" w:sz="4"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c>
          <w:tcPr>
            <w:tcW w:w="633" w:type="pct"/>
            <w:gridSpan w:val="2"/>
            <w:tcBorders>
              <w:top w:val="nil"/>
              <w:left w:val="nil"/>
              <w:bottom w:val="single" w:sz="4" w:space="0" w:color="auto"/>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sz w:val="20"/>
              </w:rPr>
            </w:pPr>
            <w:r w:rsidRPr="009A6AB2">
              <w:rPr>
                <w:sz w:val="20"/>
              </w:rPr>
              <w:t> </w:t>
            </w:r>
          </w:p>
        </w:tc>
      </w:tr>
      <w:tr w:rsidR="00851986" w:rsidRPr="006578D5" w:rsidTr="00E80A96">
        <w:trPr>
          <w:trHeight w:val="270"/>
        </w:trPr>
        <w:tc>
          <w:tcPr>
            <w:tcW w:w="351" w:type="pct"/>
            <w:tcBorders>
              <w:top w:val="nil"/>
              <w:left w:val="double" w:sz="6" w:space="0" w:color="auto"/>
              <w:bottom w:val="double" w:sz="6" w:space="0" w:color="auto"/>
              <w:right w:val="single" w:sz="4" w:space="0" w:color="auto"/>
            </w:tcBorders>
            <w:shd w:val="clear" w:color="auto" w:fill="auto"/>
            <w:noWrap/>
            <w:vAlign w:val="bottom"/>
            <w:hideMark/>
          </w:tcPr>
          <w:p w:rsidR="00851986" w:rsidRPr="009A6AB2" w:rsidRDefault="00851986" w:rsidP="00E80A96">
            <w:pPr>
              <w:overflowPunct/>
              <w:autoSpaceDE/>
              <w:autoSpaceDN/>
              <w:adjustRightInd/>
              <w:textAlignment w:val="auto"/>
              <w:rPr>
                <w:b/>
                <w:bCs/>
                <w:sz w:val="20"/>
              </w:rPr>
            </w:pPr>
            <w:r w:rsidRPr="009A6AB2">
              <w:rPr>
                <w:b/>
                <w:bCs/>
                <w:sz w:val="20"/>
              </w:rPr>
              <w:t> </w:t>
            </w:r>
          </w:p>
        </w:tc>
        <w:tc>
          <w:tcPr>
            <w:tcW w:w="2608" w:type="pct"/>
            <w:gridSpan w:val="3"/>
            <w:tcBorders>
              <w:top w:val="single" w:sz="4" w:space="0" w:color="auto"/>
              <w:left w:val="nil"/>
              <w:bottom w:val="double" w:sz="6" w:space="0" w:color="auto"/>
              <w:right w:val="single" w:sz="4" w:space="0" w:color="000000"/>
            </w:tcBorders>
            <w:shd w:val="clear" w:color="auto" w:fill="auto"/>
            <w:noWrap/>
            <w:hideMark/>
          </w:tcPr>
          <w:p w:rsidR="00851986" w:rsidRPr="009A6AB2" w:rsidRDefault="00851986" w:rsidP="00E80A96">
            <w:pPr>
              <w:overflowPunct/>
              <w:autoSpaceDE/>
              <w:autoSpaceDN/>
              <w:adjustRightInd/>
              <w:jc w:val="right"/>
              <w:textAlignment w:val="auto"/>
              <w:rPr>
                <w:b/>
                <w:bCs/>
                <w:sz w:val="20"/>
              </w:rPr>
            </w:pPr>
            <w:r w:rsidRPr="009A6AB2">
              <w:rPr>
                <w:b/>
                <w:bCs/>
                <w:sz w:val="20"/>
              </w:rPr>
              <w:t>Pavisam kopā remonta darbi:</w:t>
            </w:r>
          </w:p>
        </w:tc>
        <w:tc>
          <w:tcPr>
            <w:tcW w:w="425" w:type="pct"/>
            <w:tcBorders>
              <w:top w:val="nil"/>
              <w:left w:val="nil"/>
              <w:bottom w:val="double" w:sz="6" w:space="0" w:color="auto"/>
              <w:right w:val="nil"/>
            </w:tcBorders>
            <w:shd w:val="clear" w:color="auto" w:fill="auto"/>
            <w:noWrap/>
            <w:hideMark/>
          </w:tcPr>
          <w:p w:rsidR="00851986" w:rsidRPr="009A6AB2" w:rsidRDefault="00851986" w:rsidP="00E80A96">
            <w:pPr>
              <w:overflowPunct/>
              <w:autoSpaceDE/>
              <w:autoSpaceDN/>
              <w:adjustRightInd/>
              <w:jc w:val="right"/>
              <w:textAlignment w:val="auto"/>
              <w:rPr>
                <w:b/>
                <w:bCs/>
                <w:sz w:val="20"/>
              </w:rPr>
            </w:pPr>
            <w:r w:rsidRPr="009A6AB2">
              <w:rPr>
                <w:b/>
                <w:bCs/>
                <w:sz w:val="20"/>
              </w:rPr>
              <w:t> </w:t>
            </w:r>
          </w:p>
        </w:tc>
        <w:tc>
          <w:tcPr>
            <w:tcW w:w="984" w:type="pct"/>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851986" w:rsidRPr="009A6AB2" w:rsidRDefault="00851986" w:rsidP="00E80A96">
            <w:pPr>
              <w:overflowPunct/>
              <w:autoSpaceDE/>
              <w:autoSpaceDN/>
              <w:adjustRightInd/>
              <w:jc w:val="right"/>
              <w:textAlignment w:val="auto"/>
              <w:rPr>
                <w:b/>
                <w:bCs/>
                <w:sz w:val="20"/>
              </w:rPr>
            </w:pPr>
            <w:r w:rsidRPr="009A6AB2">
              <w:rPr>
                <w:b/>
                <w:bCs/>
                <w:sz w:val="20"/>
              </w:rPr>
              <w:t>0</w:t>
            </w:r>
          </w:p>
        </w:tc>
        <w:tc>
          <w:tcPr>
            <w:tcW w:w="633" w:type="pct"/>
            <w:gridSpan w:val="2"/>
            <w:tcBorders>
              <w:top w:val="single" w:sz="4" w:space="0" w:color="auto"/>
              <w:left w:val="nil"/>
              <w:bottom w:val="double" w:sz="6" w:space="0" w:color="auto"/>
              <w:right w:val="double" w:sz="6" w:space="0" w:color="000000"/>
            </w:tcBorders>
            <w:shd w:val="clear" w:color="auto" w:fill="auto"/>
            <w:noWrap/>
            <w:vAlign w:val="bottom"/>
            <w:hideMark/>
          </w:tcPr>
          <w:p w:rsidR="00851986" w:rsidRPr="009A6AB2" w:rsidRDefault="00851986" w:rsidP="00E80A96">
            <w:pPr>
              <w:overflowPunct/>
              <w:autoSpaceDE/>
              <w:autoSpaceDN/>
              <w:adjustRightInd/>
              <w:textAlignment w:val="auto"/>
              <w:rPr>
                <w:b/>
                <w:bCs/>
                <w:sz w:val="20"/>
              </w:rPr>
            </w:pPr>
            <w:r w:rsidRPr="009A6AB2">
              <w:rPr>
                <w:b/>
                <w:bCs/>
                <w:sz w:val="20"/>
              </w:rPr>
              <w:t> </w:t>
            </w:r>
          </w:p>
        </w:tc>
      </w:tr>
    </w:tbl>
    <w:p w:rsidR="00851986" w:rsidRDefault="00851986" w:rsidP="00851986">
      <w:pPr>
        <w:jc w:val="right"/>
        <w:rPr>
          <w:sz w:val="26"/>
          <w:szCs w:val="26"/>
        </w:rPr>
      </w:pPr>
    </w:p>
    <w:p w:rsidR="00B2263F" w:rsidRDefault="00B2263F" w:rsidP="00851986">
      <w:bookmarkStart w:id="0" w:name="_GoBack"/>
      <w:bookmarkEnd w:id="0"/>
    </w:p>
    <w:sectPr w:rsidR="00B2263F" w:rsidSect="00B22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43F"/>
    <w:multiLevelType w:val="multilevel"/>
    <w:tmpl w:val="897E1FC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strike w:val="0"/>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nsid w:val="28824FBF"/>
    <w:multiLevelType w:val="hybridMultilevel"/>
    <w:tmpl w:val="F30EF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AB57C4E"/>
    <w:multiLevelType w:val="hybridMultilevel"/>
    <w:tmpl w:val="80106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86"/>
    <w:rsid w:val="00107006"/>
    <w:rsid w:val="001A1B36"/>
    <w:rsid w:val="001E1198"/>
    <w:rsid w:val="004015D9"/>
    <w:rsid w:val="004319EA"/>
    <w:rsid w:val="004507B2"/>
    <w:rsid w:val="006D3F2D"/>
    <w:rsid w:val="006F697A"/>
    <w:rsid w:val="008348BE"/>
    <w:rsid w:val="00851986"/>
    <w:rsid w:val="0086725A"/>
    <w:rsid w:val="0090541B"/>
    <w:rsid w:val="00974679"/>
    <w:rsid w:val="009A5641"/>
    <w:rsid w:val="00A26F40"/>
    <w:rsid w:val="00A3005D"/>
    <w:rsid w:val="00A612F2"/>
    <w:rsid w:val="00B2263F"/>
    <w:rsid w:val="00C91937"/>
    <w:rsid w:val="00C93DD0"/>
    <w:rsid w:val="00E03800"/>
    <w:rsid w:val="00E402E9"/>
    <w:rsid w:val="00ED5B11"/>
    <w:rsid w:val="00FB2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986"/>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851986"/>
    <w:rPr>
      <w:rFonts w:ascii="Arial" w:eastAsia="Times New Roman" w:hAnsi="Arial" w:cs="Times New Roman"/>
      <w:b/>
      <w:bCs/>
      <w:i/>
      <w:iCs/>
      <w:sz w:val="28"/>
      <w:szCs w:val="24"/>
      <w:lang w:val="ru-RU" w:eastAsia="ru-RU"/>
    </w:rPr>
  </w:style>
  <w:style w:type="paragraph" w:customStyle="1" w:styleId="Style5">
    <w:name w:val="Style5"/>
    <w:basedOn w:val="Normal"/>
    <w:rsid w:val="00851986"/>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851986"/>
    <w:pPr>
      <w:widowControl w:val="0"/>
      <w:overflowPunct/>
      <w:autoSpaceDE/>
      <w:autoSpaceDN/>
      <w:adjustRightInd/>
      <w:jc w:val="center"/>
      <w:textAlignment w:val="auto"/>
    </w:pPr>
    <w:rPr>
      <w:lang w:val="en-AU"/>
    </w:rPr>
  </w:style>
  <w:style w:type="paragraph" w:customStyle="1" w:styleId="Style9">
    <w:name w:val="Style9"/>
    <w:basedOn w:val="Normal"/>
    <w:rsid w:val="00851986"/>
    <w:pPr>
      <w:widowControl w:val="0"/>
      <w:overflowPunct/>
      <w:autoSpaceDE/>
      <w:autoSpaceDN/>
      <w:adjustRightInd/>
      <w:jc w:val="both"/>
      <w:textAlignment w:val="auto"/>
    </w:pPr>
    <w:rPr>
      <w:lang w:val="en-AU"/>
    </w:rPr>
  </w:style>
  <w:style w:type="paragraph" w:customStyle="1" w:styleId="Style11">
    <w:name w:val="Style11"/>
    <w:basedOn w:val="Normal"/>
    <w:rsid w:val="00851986"/>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851986"/>
    <w:rPr>
      <w:rFonts w:ascii="Times New Roman" w:hAnsi="Times New Roman"/>
      <w:sz w:val="22"/>
    </w:rPr>
  </w:style>
  <w:style w:type="character" w:customStyle="1" w:styleId="FontStyle16">
    <w:name w:val="Font Style16"/>
    <w:rsid w:val="00851986"/>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986"/>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851986"/>
    <w:rPr>
      <w:rFonts w:ascii="Arial" w:eastAsia="Times New Roman" w:hAnsi="Arial" w:cs="Times New Roman"/>
      <w:b/>
      <w:bCs/>
      <w:i/>
      <w:iCs/>
      <w:sz w:val="28"/>
      <w:szCs w:val="24"/>
      <w:lang w:val="ru-RU" w:eastAsia="ru-RU"/>
    </w:rPr>
  </w:style>
  <w:style w:type="paragraph" w:customStyle="1" w:styleId="Style5">
    <w:name w:val="Style5"/>
    <w:basedOn w:val="Normal"/>
    <w:rsid w:val="00851986"/>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851986"/>
    <w:pPr>
      <w:widowControl w:val="0"/>
      <w:overflowPunct/>
      <w:autoSpaceDE/>
      <w:autoSpaceDN/>
      <w:adjustRightInd/>
      <w:jc w:val="center"/>
      <w:textAlignment w:val="auto"/>
    </w:pPr>
    <w:rPr>
      <w:lang w:val="en-AU"/>
    </w:rPr>
  </w:style>
  <w:style w:type="paragraph" w:customStyle="1" w:styleId="Style9">
    <w:name w:val="Style9"/>
    <w:basedOn w:val="Normal"/>
    <w:rsid w:val="00851986"/>
    <w:pPr>
      <w:widowControl w:val="0"/>
      <w:overflowPunct/>
      <w:autoSpaceDE/>
      <w:autoSpaceDN/>
      <w:adjustRightInd/>
      <w:jc w:val="both"/>
      <w:textAlignment w:val="auto"/>
    </w:pPr>
    <w:rPr>
      <w:lang w:val="en-AU"/>
    </w:rPr>
  </w:style>
  <w:style w:type="paragraph" w:customStyle="1" w:styleId="Style11">
    <w:name w:val="Style11"/>
    <w:basedOn w:val="Normal"/>
    <w:rsid w:val="00851986"/>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851986"/>
    <w:rPr>
      <w:rFonts w:ascii="Times New Roman" w:hAnsi="Times New Roman"/>
      <w:sz w:val="22"/>
    </w:rPr>
  </w:style>
  <w:style w:type="character" w:customStyle="1" w:styleId="FontStyle16">
    <w:name w:val="Font Style16"/>
    <w:rsid w:val="00851986"/>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13587</Words>
  <Characters>7746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dc:creator>
  <cp:keywords/>
  <dc:description/>
  <cp:lastModifiedBy>JPD</cp:lastModifiedBy>
  <cp:revision>2</cp:revision>
  <dcterms:created xsi:type="dcterms:W3CDTF">2014-01-23T14:38:00Z</dcterms:created>
  <dcterms:modified xsi:type="dcterms:W3CDTF">2014-01-23T14:39:00Z</dcterms:modified>
</cp:coreProperties>
</file>